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  <w:r w:rsidRPr="004B1E9D">
        <w:rPr>
          <w:rFonts w:ascii="Garamond" w:hAnsi="Garamond" w:cs="Arial"/>
          <w:b/>
          <w:noProof/>
          <w:color w:val="002060"/>
          <w:sz w:val="42"/>
          <w:szCs w:val="42"/>
          <w:lang w:eastAsia="pt-BR"/>
        </w:rPr>
        <w:drawing>
          <wp:anchor distT="0" distB="0" distL="114300" distR="114300" simplePos="0" relativeHeight="251663360" behindDoc="0" locked="0" layoutInCell="1" allowOverlap="1" wp14:anchorId="56CD7ED1" wp14:editId="2486FA29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7553325" cy="10681970"/>
            <wp:effectExtent l="0" t="0" r="9525" b="508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Anual 2020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8C4EC7" w:rsidRPr="004B1E9D" w:rsidRDefault="008C4EC7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</w:p>
    <w:p w:rsidR="00B92C2C" w:rsidRPr="004B1E9D" w:rsidRDefault="004425AF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  <w:r w:rsidRPr="004B1E9D">
        <w:rPr>
          <w:rFonts w:ascii="Garamond" w:hAnsi="Garamond" w:cs="Arial"/>
          <w:b/>
          <w:color w:val="002060"/>
          <w:sz w:val="42"/>
          <w:szCs w:val="42"/>
        </w:rPr>
        <w:lastRenderedPageBreak/>
        <w:t xml:space="preserve">CARTA ANUAL DE POLÍTICAS PÚBLICAS E GOVERNANÇA CORPORATIVA </w:t>
      </w:r>
    </w:p>
    <w:p w:rsidR="003A5CC8" w:rsidRPr="004B1E9D" w:rsidRDefault="003A5CC8" w:rsidP="003048E2">
      <w:pPr>
        <w:spacing w:before="120" w:after="120" w:line="240" w:lineRule="auto"/>
        <w:jc w:val="both"/>
        <w:rPr>
          <w:rFonts w:ascii="Garamond" w:hAnsi="Garamond" w:cs="Arial"/>
          <w:color w:val="002060"/>
        </w:rPr>
      </w:pPr>
    </w:p>
    <w:p w:rsidR="00B92C2C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>Em conformidade com o art. 8º, inciso</w:t>
      </w:r>
      <w:r w:rsidR="00621601">
        <w:rPr>
          <w:rFonts w:ascii="Garamond" w:hAnsi="Garamond" w:cs="Arial"/>
          <w:color w:val="002060"/>
          <w:sz w:val="24"/>
          <w:szCs w:val="24"/>
        </w:rPr>
        <w:t>s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I e VIII, da Lei nº 13.303, de 30 de junho de 2016, o Conselho de Administração subscreve a presente Carta Anual sobre Políticas Públicas e Governança Corporativa referente ao exercício social de 201</w:t>
      </w:r>
      <w:r w:rsidR="003F68F9" w:rsidRPr="004B1E9D">
        <w:rPr>
          <w:rFonts w:ascii="Garamond" w:hAnsi="Garamond" w:cs="Arial"/>
          <w:color w:val="002060"/>
          <w:sz w:val="24"/>
          <w:szCs w:val="24"/>
        </w:rPr>
        <w:t>9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. </w:t>
      </w:r>
    </w:p>
    <w:p w:rsidR="003A5CC8" w:rsidRPr="004B1E9D" w:rsidRDefault="003A5CC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p w:rsidR="00B92C2C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6"/>
          <w:szCs w:val="26"/>
        </w:rPr>
      </w:pPr>
      <w:r w:rsidRPr="004B1E9D">
        <w:rPr>
          <w:rFonts w:ascii="Garamond" w:hAnsi="Garamond" w:cs="Arial"/>
          <w:b/>
          <w:color w:val="002060"/>
          <w:sz w:val="26"/>
          <w:szCs w:val="26"/>
        </w:rPr>
        <w:t xml:space="preserve">IDENTIFICAÇÃO GERAL </w:t>
      </w:r>
    </w:p>
    <w:p w:rsidR="003A5CC8" w:rsidRPr="004B1E9D" w:rsidRDefault="003A5CC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tbl>
      <w:tblPr>
        <w:tblStyle w:val="Tabelacomgrade"/>
        <w:tblW w:w="5000" w:type="pct"/>
        <w:jc w:val="center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 w:firstRow="1" w:lastRow="0" w:firstColumn="1" w:lastColumn="0" w:noHBand="0" w:noVBand="1"/>
      </w:tblPr>
      <w:tblGrid>
        <w:gridCol w:w="3174"/>
        <w:gridCol w:w="5240"/>
      </w:tblGrid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CNPJ</w:t>
            </w:r>
            <w:r w:rsidR="00621601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17.909.518/0001-45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NIRE: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tabs>
                <w:tab w:val="left" w:pos="1029"/>
              </w:tabs>
              <w:ind w:firstLine="33"/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5350000520-0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Sede: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Brasília/DF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Tipo de estatal: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Empresa Pública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Acionista controlador: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União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Tipo societário: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Sociedade Anônima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Tipo de capital: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Fechado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Abrangência de atuação: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Nacional e Internacional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Setor de atuação: </w:t>
            </w:r>
          </w:p>
        </w:tc>
        <w:tc>
          <w:tcPr>
            <w:tcW w:w="3114" w:type="pct"/>
            <w:vAlign w:val="center"/>
          </w:tcPr>
          <w:p w:rsidR="004F7EB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Serviços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Diretor Administrativo e Financeiro </w:t>
            </w:r>
            <w:r w:rsidR="006A2280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Interino</w:t>
            </w:r>
          </w:p>
        </w:tc>
        <w:tc>
          <w:tcPr>
            <w:tcW w:w="3114" w:type="pct"/>
            <w:vAlign w:val="center"/>
          </w:tcPr>
          <w:p w:rsidR="004F7EB8" w:rsidRPr="004B1E9D" w:rsidRDefault="006A2280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>Octávio Luiz Bromatti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Auditores Independentes:</w:t>
            </w:r>
          </w:p>
        </w:tc>
        <w:tc>
          <w:tcPr>
            <w:tcW w:w="3114" w:type="pct"/>
            <w:vAlign w:val="center"/>
          </w:tcPr>
          <w:p w:rsidR="004F7EB8" w:rsidRPr="004B1E9D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BDO RCS Auditores Independentes SS</w:t>
            </w:r>
          </w:p>
          <w:p w:rsidR="00046E95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Nome: </w:t>
            </w:r>
          </w:p>
          <w:p w:rsidR="00D0064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Telefone: (</w:t>
            </w:r>
            <w:r w:rsidR="003F68F9"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61</w:t>
            </w: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) </w:t>
            </w:r>
            <w:r w:rsidR="003F68F9"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3322-5190</w:t>
            </w:r>
          </w:p>
          <w:p w:rsidR="00046E95" w:rsidRPr="004B1E9D" w:rsidRDefault="004425AF" w:rsidP="003F68F9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e-mail: </w:t>
            </w:r>
            <w:r w:rsidR="003F68F9"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brasilia</w:t>
            </w: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@</w:t>
            </w:r>
            <w:r w:rsidR="003F68F9"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bdo.com.br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Conselheiros de Administração subscritores da Carta Anual:</w:t>
            </w:r>
          </w:p>
        </w:tc>
        <w:tc>
          <w:tcPr>
            <w:tcW w:w="3114" w:type="pct"/>
            <w:vAlign w:val="center"/>
          </w:tcPr>
          <w:p w:rsidR="004F7EB8" w:rsidRPr="004B1E9D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Diogo Mac Cord de Faria</w:t>
            </w:r>
          </w:p>
          <w:p w:rsidR="00D0064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Pedro Maciel Capeluppi</w:t>
            </w:r>
          </w:p>
          <w:p w:rsidR="00D00648" w:rsidRPr="00927C27" w:rsidRDefault="00927C27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>Danilo Soares</w:t>
            </w:r>
            <w:r w:rsidR="00293FF1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Pacheco de Medeiros</w:t>
            </w:r>
          </w:p>
          <w:p w:rsidR="00D0064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Fabiana Vieira Lima</w:t>
            </w:r>
          </w:p>
          <w:p w:rsidR="00D00648" w:rsidRPr="00293FF1" w:rsidRDefault="00293FF1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>Rafael Bicca Machado</w:t>
            </w:r>
          </w:p>
          <w:p w:rsidR="00116BA1" w:rsidRPr="004B1E9D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Octávio Luiz Bromatti</w:t>
            </w:r>
          </w:p>
        </w:tc>
      </w:tr>
      <w:tr w:rsidR="004B1E9D" w:rsidRPr="004B1E9D" w:rsidTr="008C4EC7">
        <w:trPr>
          <w:jc w:val="center"/>
        </w:trPr>
        <w:tc>
          <w:tcPr>
            <w:tcW w:w="1886" w:type="pct"/>
            <w:vAlign w:val="center"/>
          </w:tcPr>
          <w:p w:rsidR="004F7EB8" w:rsidRPr="004B1E9D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Administradores subscritores da Carta Anual: </w:t>
            </w:r>
          </w:p>
        </w:tc>
        <w:tc>
          <w:tcPr>
            <w:tcW w:w="3114" w:type="pct"/>
            <w:vAlign w:val="center"/>
          </w:tcPr>
          <w:p w:rsidR="003F68F9" w:rsidRPr="004B1E9D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Octávio Luiz Bromatti </w:t>
            </w:r>
          </w:p>
          <w:p w:rsidR="00046E95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Cargo: Diretor Presidente</w:t>
            </w:r>
            <w:r w:rsidR="006A2280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e </w:t>
            </w: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Diretor Administrativo Financeiro</w:t>
            </w:r>
            <w:r w:rsidR="006A2280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Interino</w:t>
            </w:r>
          </w:p>
          <w:p w:rsidR="00D00648" w:rsidRPr="004B1E9D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Helena Mulim Venceslau</w:t>
            </w:r>
          </w:p>
          <w:p w:rsidR="00046E95" w:rsidRPr="004B1E9D" w:rsidRDefault="004425AF" w:rsidP="003F68F9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4B1E9D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Cargo: Diretora de </w:t>
            </w:r>
            <w:r w:rsidR="003F68F9" w:rsidRPr="004B1E9D">
              <w:rPr>
                <w:rFonts w:ascii="Garamond" w:hAnsi="Garamond" w:cs="Arial"/>
                <w:color w:val="002060"/>
                <w:sz w:val="24"/>
                <w:szCs w:val="24"/>
              </w:rPr>
              <w:t>Garantias</w:t>
            </w:r>
          </w:p>
        </w:tc>
      </w:tr>
    </w:tbl>
    <w:p w:rsidR="00B92C2C" w:rsidRPr="004B1E9D" w:rsidRDefault="00B92C2C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:rsidR="00BF2110" w:rsidRDefault="00BF2110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:rsidR="00BF2110" w:rsidRDefault="00BF2110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:rsidR="004D041E" w:rsidRPr="00BF2110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BF2110">
        <w:rPr>
          <w:rFonts w:ascii="Garamond" w:hAnsi="Garamond" w:cs="Arial"/>
          <w:b/>
          <w:color w:val="002060"/>
          <w:sz w:val="24"/>
          <w:szCs w:val="24"/>
        </w:rPr>
        <w:t xml:space="preserve">Data de </w:t>
      </w:r>
      <w:r w:rsidR="00BF2110" w:rsidRPr="00BF2110">
        <w:rPr>
          <w:rFonts w:ascii="Garamond" w:hAnsi="Garamond" w:cs="Arial"/>
          <w:b/>
          <w:color w:val="002060"/>
          <w:sz w:val="24"/>
          <w:szCs w:val="24"/>
        </w:rPr>
        <w:t>Publicação</w:t>
      </w:r>
      <w:r w:rsidRPr="00BF2110">
        <w:rPr>
          <w:rFonts w:ascii="Garamond" w:hAnsi="Garamond" w:cs="Arial"/>
          <w:b/>
          <w:color w:val="002060"/>
          <w:sz w:val="24"/>
          <w:szCs w:val="24"/>
        </w:rPr>
        <w:t xml:space="preserve">: </w:t>
      </w:r>
      <w:r w:rsidR="003A5CC8" w:rsidRPr="00BF2110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  <w:r w:rsidR="008E7482">
        <w:rPr>
          <w:rFonts w:ascii="Garamond" w:hAnsi="Garamond" w:cs="Arial"/>
          <w:b/>
          <w:color w:val="002060"/>
          <w:sz w:val="24"/>
          <w:szCs w:val="24"/>
        </w:rPr>
        <w:t>17 de abril de 2020</w:t>
      </w:r>
      <w:bookmarkStart w:id="0" w:name="_GoBack"/>
      <w:bookmarkEnd w:id="0"/>
    </w:p>
    <w:p w:rsidR="00046E95" w:rsidRPr="004B1E9D" w:rsidRDefault="004B1E9D" w:rsidP="004B1E9D">
      <w:pPr>
        <w:pageBreakBefore/>
        <w:spacing w:before="120" w:after="120" w:line="240" w:lineRule="auto"/>
        <w:jc w:val="center"/>
        <w:rPr>
          <w:rFonts w:ascii="Garamond" w:hAnsi="Garamond" w:cs="Arial"/>
          <w:b/>
          <w:color w:val="002060"/>
          <w:sz w:val="28"/>
          <w:szCs w:val="28"/>
        </w:rPr>
      </w:pPr>
      <w:r w:rsidRPr="004B1E9D">
        <w:rPr>
          <w:rFonts w:ascii="Garamond" w:hAnsi="Garamond" w:cs="Arial"/>
          <w:b/>
          <w:color w:val="002060"/>
          <w:sz w:val="28"/>
          <w:szCs w:val="28"/>
        </w:rPr>
        <w:lastRenderedPageBreak/>
        <w:t xml:space="preserve">POLÍTICAS PÚBLICAS E </w:t>
      </w:r>
      <w:r w:rsidR="004425AF" w:rsidRPr="004B1E9D">
        <w:rPr>
          <w:rFonts w:ascii="Garamond" w:hAnsi="Garamond" w:cs="Arial"/>
          <w:b/>
          <w:color w:val="002060"/>
          <w:sz w:val="28"/>
          <w:szCs w:val="28"/>
        </w:rPr>
        <w:t xml:space="preserve">GOVERNANÇA </w:t>
      </w:r>
      <w:r w:rsidRPr="004B1E9D">
        <w:rPr>
          <w:rFonts w:ascii="Garamond" w:hAnsi="Garamond" w:cs="Arial"/>
          <w:b/>
          <w:color w:val="002060"/>
          <w:sz w:val="28"/>
          <w:szCs w:val="28"/>
        </w:rPr>
        <w:t>CORPORATIVA</w:t>
      </w:r>
    </w:p>
    <w:p w:rsidR="003A5CC8" w:rsidRPr="004B1E9D" w:rsidRDefault="003A5CC8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:rsidR="00046E95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>A Lei nº 13.303/2016, em seu art. 8º, inciso I, exige a elaboração de “</w:t>
      </w:r>
      <w:r w:rsidRPr="004B1E9D">
        <w:rPr>
          <w:rFonts w:ascii="Garamond" w:hAnsi="Garamond" w:cs="Arial"/>
          <w:i/>
          <w:color w:val="002060"/>
          <w:sz w:val="24"/>
          <w:szCs w:val="24"/>
        </w:rPr>
        <w:t>carta anual, subscrita pelos membros do Conselho de Administração, com a explicitação dos compromissos de consecução de objetivos de políticas públicas pela empresa pública, pela sociedade de economia mista e por suas subsidiárias, em atendimento ao interesse coletivo ou ao imperativo de segurança nacional que justificou a autorização para suas respectivas criações, com definição clara dos recursos a serem empregados para esse fim, bem como dos impactos econômico-financeiros da consecução desses objetivos, mensuráveis por meio de indicadores objetivos</w:t>
      </w:r>
      <w:r w:rsidRPr="004B1E9D">
        <w:rPr>
          <w:rFonts w:ascii="Garamond" w:hAnsi="Garamond" w:cs="Arial"/>
          <w:color w:val="002060"/>
          <w:sz w:val="24"/>
          <w:szCs w:val="24"/>
        </w:rPr>
        <w:t>”. Essas informações estão detalhadas a seguir.</w:t>
      </w:r>
    </w:p>
    <w:p w:rsidR="003A5CC8" w:rsidRPr="004B1E9D" w:rsidRDefault="003A5CC8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:rsidR="00046E95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B1E9D">
        <w:rPr>
          <w:rFonts w:ascii="Garamond" w:hAnsi="Garamond" w:cs="Arial"/>
          <w:b/>
          <w:color w:val="002060"/>
          <w:sz w:val="24"/>
          <w:szCs w:val="24"/>
        </w:rPr>
        <w:t>1. Interesse público subjacente às atividades empresariais</w:t>
      </w:r>
    </w:p>
    <w:p w:rsidR="00243E42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De acordo com os artigos 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33, </w:t>
      </w:r>
      <w:r w:rsidRPr="004B1E9D">
        <w:rPr>
          <w:rFonts w:ascii="Garamond" w:hAnsi="Garamond" w:cs="Arial"/>
          <w:color w:val="002060"/>
          <w:sz w:val="24"/>
          <w:szCs w:val="24"/>
        </w:rPr>
        <w:t>38 e 57 da Lei nº 12.712, de 30</w:t>
      </w:r>
      <w:r w:rsidR="00952C2C">
        <w:rPr>
          <w:rFonts w:ascii="Garamond" w:hAnsi="Garamond" w:cs="Arial"/>
          <w:color w:val="002060"/>
          <w:sz w:val="24"/>
          <w:szCs w:val="24"/>
        </w:rPr>
        <w:t>/</w:t>
      </w:r>
      <w:r w:rsidRPr="004B1E9D">
        <w:rPr>
          <w:rFonts w:ascii="Garamond" w:hAnsi="Garamond" w:cs="Arial"/>
          <w:color w:val="002060"/>
          <w:sz w:val="24"/>
          <w:szCs w:val="24"/>
        </w:rPr>
        <w:t>08</w:t>
      </w:r>
      <w:r w:rsidR="00952C2C">
        <w:rPr>
          <w:rFonts w:ascii="Garamond" w:hAnsi="Garamond" w:cs="Arial"/>
          <w:color w:val="002060"/>
          <w:sz w:val="24"/>
          <w:szCs w:val="24"/>
        </w:rPr>
        <w:t>/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2012, a ABGF tem por objeto: </w:t>
      </w:r>
    </w:p>
    <w:p w:rsidR="00243E42" w:rsidRPr="004B1E9D" w:rsidRDefault="004425AF" w:rsidP="003048E2">
      <w:pPr>
        <w:spacing w:before="120" w:after="120" w:line="240" w:lineRule="auto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" w:name="art38i"/>
      <w:bookmarkEnd w:id="1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I – </w:t>
      </w:r>
      <w:proofErr w:type="gramStart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</w:t>
      </w:r>
      <w:proofErr w:type="gramEnd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concessão de garantias contra riscos: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2" w:name="art38ia"/>
      <w:bookmarkEnd w:id="2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a) de morte e invalidez permanente (MIP) do mutuário, em operações de crédito habitacional no âmbito de programas ou instituições oficiais;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3" w:name="art38ib"/>
      <w:bookmarkEnd w:id="3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b) de danos físicos ao imóvel (DFI), em operações de crédito habitacional no âmbito de programas ou instituições oficiais;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4" w:name="art38ic"/>
      <w:bookmarkEnd w:id="4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c) de crédito, em operações de crédito habitacional, no âmbito de programas ou instituições oficiais;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5" w:name="art38id"/>
      <w:bookmarkEnd w:id="5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d) comerciais, em operações de crédito ao comércio exterior com prazo superior a 2 (dois) anos;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6" w:name="art38ie"/>
      <w:bookmarkEnd w:id="6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e) políticos e extraordinários, em operações de crédito ao comércio exterior de qualquer prazo;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7" w:name="art38if"/>
      <w:bookmarkEnd w:id="7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f) de descumprimento de obrigações contratuais referentes a operações de exportação de bens ou serviços, conforme garantias previstas em estatuto;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8" w:name="art38ig"/>
      <w:bookmarkEnd w:id="8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g) de crédito, em operações de aquisição de máquinas e implementos agrícolas, no âmbito de programas ou instituições oficiais;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9" w:name="art38ih"/>
      <w:bookmarkEnd w:id="9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h) de crédito, em operações a microempreendedores individuais, autônomos, micr</w:t>
      </w:r>
      <w:r w:rsidR="002118B7"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o, pequenas e médias empresas; 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0" w:name="art38i.i"/>
      <w:bookmarkEnd w:id="10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i) de crédito educativo no âmbito de programas ou instituições oficiais;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1" w:name="art38ij"/>
      <w:bookmarkEnd w:id="11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j) comerciais, em operações de crédito ao comércio exterior para micro, pequenas e médias empresas; e</w:t>
      </w:r>
    </w:p>
    <w:p w:rsidR="00243E42" w:rsidRPr="004B1E9D" w:rsidRDefault="004425AF" w:rsidP="003048E2">
      <w:pPr>
        <w:spacing w:before="120" w:after="120" w:line="240" w:lineRule="auto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2" w:name="art38ik"/>
      <w:bookmarkEnd w:id="12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k) do mercado de seguros rurais privados, na forma de cobertura suplementar, nas modalidades agrícola, pecuária, aquícola, florestal e de penhor rural.</w:t>
      </w:r>
    </w:p>
    <w:p w:rsidR="00243E42" w:rsidRPr="004B1E9D" w:rsidRDefault="004425AF" w:rsidP="003048E2">
      <w:pPr>
        <w:spacing w:before="120" w:after="120" w:line="240" w:lineRule="auto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3" w:name="art38ii"/>
      <w:bookmarkStart w:id="14" w:name="art38ii.."/>
      <w:bookmarkEnd w:id="13"/>
      <w:bookmarkEnd w:id="14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II – </w:t>
      </w:r>
      <w:proofErr w:type="gramStart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</w:t>
      </w:r>
      <w:proofErr w:type="gramEnd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constituição, a administração, a gestão e a representação de fundos garantidores e de outros fundos de interesse da União; </w:t>
      </w:r>
    </w:p>
    <w:p w:rsidR="00243E42" w:rsidRPr="004B1E9D" w:rsidRDefault="004425AF" w:rsidP="003048E2">
      <w:pPr>
        <w:spacing w:before="120" w:after="120" w:line="240" w:lineRule="auto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5" w:name="art38iii"/>
      <w:bookmarkEnd w:id="15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III – a constituição, administração, gestão e representação de fundos que tenham por único objetivo a cobertura suplementar dos riscos de seguro rural nas modalidades agrícola, pecuária, aquícola e florestal, desde que autorizada pela legislação aplicável aos seguros privados, observadas as disposições estabelecidas pelo órgão regulador de seguros;</w:t>
      </w:r>
    </w:p>
    <w:p w:rsidR="00243E42" w:rsidRPr="004B1E9D" w:rsidRDefault="004425AF" w:rsidP="003048E2">
      <w:pPr>
        <w:spacing w:before="120" w:after="120" w:line="240" w:lineRule="auto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6" w:name="art38iv"/>
      <w:bookmarkStart w:id="17" w:name="art38iv."/>
      <w:bookmarkEnd w:id="16"/>
      <w:bookmarkEnd w:id="17"/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lastRenderedPageBreak/>
        <w:t xml:space="preserve">IV – a constituição, a administração, a gestão e a representação do fundo de que trata o </w:t>
      </w:r>
      <w:hyperlink r:id="rId9" w:anchor="art10" w:history="1">
        <w:r w:rsidRPr="004B1E9D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art. 10 da Lei nº 8.374, de 30 de dezembro de 1991</w:t>
        </w:r>
      </w:hyperlink>
      <w:r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, observadas as disposições estabelecidas pelo órgão regulador de seguros;</w:t>
      </w:r>
    </w:p>
    <w:p w:rsidR="003048E2" w:rsidRDefault="00621601" w:rsidP="009F6F06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Além disso, a ABGF é a Empresa: (i) contratada para</w:t>
      </w:r>
      <w:r w:rsidR="004425AF"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 execução de todos os serviços relacionados ao seguro de crédito à exportação, inclusive análise, acompanhamento, gestão das operações de prestação de garantias e de recuperação de créditos sinistrados, nos termos do art. 4º da Lei nº 6.704, de 26</w:t>
      </w:r>
      <w:r w:rsidR="00952C2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/</w:t>
      </w:r>
      <w:r w:rsidR="004425AF"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10</w:t>
      </w:r>
      <w:r w:rsidR="00952C2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/</w:t>
      </w:r>
      <w:r w:rsidR="004425AF"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1979; </w:t>
      </w: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(</w:t>
      </w:r>
      <w:proofErr w:type="spellStart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</w:t>
      </w:r>
      <w:proofErr w:type="spellEnd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) encarregada da </w:t>
      </w:r>
      <w:r w:rsidR="004425AF" w:rsidRPr="004B1E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gestão do FESR até a completa liquidação das obrigações desse Fundo, observadas as regras estabelecidas pelo CNSP, conforme previsto no </w:t>
      </w:r>
      <w:hyperlink r:id="rId10" w:anchor="art18" w:history="1">
        <w:r w:rsidR="004425AF" w:rsidRPr="004B1E9D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art. 18 da Lei Complementar nº 137, de 26</w:t>
        </w:r>
        <w:r w:rsidR="00952C2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/</w:t>
        </w:r>
        <w:r w:rsidR="004425AF" w:rsidRPr="004B1E9D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08</w:t>
        </w:r>
        <w:r w:rsidR="00952C2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/</w:t>
        </w:r>
        <w:r w:rsidR="004425AF" w:rsidRPr="004B1E9D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2010</w:t>
        </w:r>
      </w:hyperlink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; e (</w:t>
      </w:r>
      <w:proofErr w:type="spellStart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iii</w:t>
      </w:r>
      <w:proofErr w:type="spellEnd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) responsável por administrar o</w:t>
      </w:r>
      <w:r w:rsidR="003048E2" w:rsidRPr="004B1E9D">
        <w:rPr>
          <w:rFonts w:ascii="Garamond" w:hAnsi="Garamond" w:cs="Arial"/>
          <w:color w:val="002060"/>
          <w:sz w:val="24"/>
          <w:szCs w:val="24"/>
        </w:rPr>
        <w:t xml:space="preserve"> Fundo Garantidor de Infraestrutura (FGIE). </w:t>
      </w:r>
    </w:p>
    <w:p w:rsidR="004B1E9D" w:rsidRDefault="00621601" w:rsidP="003048E2">
      <w:pPr>
        <w:jc w:val="both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 xml:space="preserve">Contudo, de acordo com o </w:t>
      </w:r>
      <w:r w:rsidR="00AC25A9">
        <w:rPr>
          <w:rFonts w:ascii="Garamond" w:hAnsi="Garamond" w:cs="Arial"/>
          <w:color w:val="002060"/>
          <w:sz w:val="24"/>
          <w:szCs w:val="24"/>
        </w:rPr>
        <w:t xml:space="preserve">Decreto </w:t>
      </w:r>
      <w:r>
        <w:rPr>
          <w:rFonts w:ascii="Garamond" w:hAnsi="Garamond" w:cs="Arial"/>
          <w:color w:val="002060"/>
          <w:sz w:val="24"/>
          <w:szCs w:val="24"/>
        </w:rPr>
        <w:t xml:space="preserve">nº 10.007, de 05/09/2019, </w:t>
      </w:r>
      <w:r w:rsidR="004B1E9D">
        <w:rPr>
          <w:rFonts w:ascii="Garamond" w:hAnsi="Garamond" w:cs="Arial"/>
          <w:color w:val="002060"/>
          <w:sz w:val="24"/>
          <w:szCs w:val="24"/>
        </w:rPr>
        <w:t xml:space="preserve">a ABGF foi 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 xml:space="preserve">qualificada no âmbito do Programa de Parcerias de Investimentos da Presidência da República </w:t>
      </w:r>
      <w:r w:rsidR="00DC5D98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>PPI</w:t>
      </w:r>
      <w:r w:rsidR="00DC5D98">
        <w:rPr>
          <w:rFonts w:ascii="Garamond" w:hAnsi="Garamond" w:cs="Arial"/>
          <w:color w:val="002060"/>
          <w:sz w:val="24"/>
          <w:szCs w:val="24"/>
        </w:rPr>
        <w:t>)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 xml:space="preserve"> e incluída no Programa Nacional de Desestatização </w:t>
      </w:r>
      <w:r w:rsidR="00DC5D98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>PND</w:t>
      </w:r>
      <w:r w:rsidR="00DC5D98">
        <w:rPr>
          <w:rFonts w:ascii="Garamond" w:hAnsi="Garamond" w:cs="Arial"/>
          <w:color w:val="002060"/>
          <w:sz w:val="24"/>
          <w:szCs w:val="24"/>
        </w:rPr>
        <w:t xml:space="preserve">), sendo o 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 xml:space="preserve">Banco Nacional de Desenvolvimento Econômico e Social </w:t>
      </w:r>
      <w:r w:rsidR="00DC5D98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>BNDES</w:t>
      </w:r>
      <w:r w:rsidR="00DC5D98">
        <w:rPr>
          <w:rFonts w:ascii="Garamond" w:hAnsi="Garamond" w:cs="Arial"/>
          <w:color w:val="002060"/>
          <w:sz w:val="24"/>
          <w:szCs w:val="24"/>
        </w:rPr>
        <w:t xml:space="preserve">) o órgão designado </w:t>
      </w:r>
      <w:r w:rsidR="004B1E9D" w:rsidRPr="004B1E9D">
        <w:rPr>
          <w:rFonts w:ascii="Garamond" w:hAnsi="Garamond" w:cs="Arial"/>
          <w:color w:val="002060"/>
          <w:sz w:val="24"/>
          <w:szCs w:val="24"/>
        </w:rPr>
        <w:t>como responsável pela execução e acompanhamento dos atos necessários à desestatização da ABGF, nos termos do disposto no </w:t>
      </w:r>
      <w:hyperlink r:id="rId11" w:anchor="art6%C2%A71" w:history="1">
        <w:r w:rsidR="004B1E9D" w:rsidRPr="004B1E9D">
          <w:rPr>
            <w:rFonts w:ascii="Garamond" w:hAnsi="Garamond"/>
            <w:color w:val="002060"/>
            <w:sz w:val="24"/>
            <w:szCs w:val="24"/>
          </w:rPr>
          <w:t>§ 1º do art. 6º da Lei nº 9.491, de 9 de setembro de 1997</w:t>
        </w:r>
        <w:r w:rsidR="004B1E9D">
          <w:rPr>
            <w:rFonts w:ascii="Garamond" w:hAnsi="Garamond"/>
            <w:color w:val="002060"/>
            <w:sz w:val="24"/>
            <w:szCs w:val="24"/>
          </w:rPr>
          <w:t>.</w:t>
        </w:r>
        <w:r w:rsidR="004B1E9D" w:rsidRPr="004B1E9D">
          <w:rPr>
            <w:rFonts w:ascii="Garamond" w:hAnsi="Garamond"/>
            <w:color w:val="002060"/>
            <w:sz w:val="24"/>
            <w:szCs w:val="24"/>
          </w:rPr>
          <w:t> </w:t>
        </w:r>
      </w:hyperlink>
    </w:p>
    <w:p w:rsidR="00DC5D98" w:rsidRPr="004B1E9D" w:rsidRDefault="00621601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Diante disso</w:t>
      </w:r>
      <w:r w:rsidR="00DC5D98">
        <w:rPr>
          <w:rFonts w:ascii="Garamond" w:hAnsi="Garamond" w:cs="Arial"/>
          <w:color w:val="002060"/>
          <w:sz w:val="24"/>
          <w:szCs w:val="24"/>
        </w:rPr>
        <w:t xml:space="preserve">, no segundo semestre de 2019, </w:t>
      </w:r>
      <w:r>
        <w:rPr>
          <w:rFonts w:ascii="Garamond" w:hAnsi="Garamond" w:cs="Arial"/>
          <w:color w:val="002060"/>
          <w:sz w:val="24"/>
          <w:szCs w:val="24"/>
        </w:rPr>
        <w:t xml:space="preserve">a ABGF </w:t>
      </w:r>
      <w:r w:rsidR="00DC5D98">
        <w:rPr>
          <w:rFonts w:ascii="Garamond" w:hAnsi="Garamond" w:cs="Arial"/>
          <w:color w:val="002060"/>
          <w:sz w:val="24"/>
          <w:szCs w:val="24"/>
        </w:rPr>
        <w:t xml:space="preserve">passou as adotar medidas necessárias para implementar o processo de desestatização.  </w:t>
      </w:r>
    </w:p>
    <w:p w:rsidR="007C594A" w:rsidRPr="004B1E9D" w:rsidRDefault="007C66BC" w:rsidP="007C66BC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bookmarkStart w:id="18" w:name="_Toc414015049"/>
      <w:bookmarkStart w:id="19" w:name="_Toc427684012"/>
      <w:r w:rsidRPr="004B1E9D">
        <w:rPr>
          <w:rFonts w:ascii="Garamond" w:hAnsi="Garamond" w:cs="Arial"/>
          <w:b/>
          <w:color w:val="002060"/>
          <w:sz w:val="24"/>
          <w:szCs w:val="24"/>
        </w:rPr>
        <w:t xml:space="preserve">2. Atividades Desenvolvidas </w:t>
      </w:r>
    </w:p>
    <w:p w:rsidR="003048E2" w:rsidRPr="004B1E9D" w:rsidRDefault="00621601" w:rsidP="003048E2">
      <w:pPr>
        <w:pStyle w:val="Ttulo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2.1 </w:t>
      </w:r>
      <w:r w:rsidR="003048E2" w:rsidRPr="004B1E9D">
        <w:rPr>
          <w:rFonts w:ascii="Garamond" w:hAnsi="Garamond"/>
          <w:color w:val="002060"/>
        </w:rPr>
        <w:t>Fundo Garantidor de Infraestrutura – FGIE</w:t>
      </w:r>
      <w:bookmarkEnd w:id="18"/>
      <w:bookmarkEnd w:id="19"/>
    </w:p>
    <w:p w:rsidR="003048E2" w:rsidRPr="004B1E9D" w:rsidRDefault="003048E2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>O FGIE</w:t>
      </w:r>
      <w:r w:rsidR="008B6716" w:rsidRPr="004B1E9D">
        <w:rPr>
          <w:rFonts w:ascii="Garamond" w:hAnsi="Garamond" w:cs="Arial"/>
          <w:color w:val="002060"/>
          <w:sz w:val="24"/>
          <w:szCs w:val="24"/>
        </w:rPr>
        <w:t xml:space="preserve">, constituído pela ABGF em 2014,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é um fundo de natureza privada, que tem a finalidade de garantir, de forma direta ou indireta, </w:t>
      </w:r>
      <w:r w:rsidR="00F77EED">
        <w:rPr>
          <w:rFonts w:ascii="Garamond" w:hAnsi="Garamond" w:cs="Arial"/>
          <w:color w:val="002060"/>
          <w:sz w:val="24"/>
          <w:szCs w:val="24"/>
        </w:rPr>
        <w:t xml:space="preserve"> cobertura para </w:t>
      </w:r>
      <w:r w:rsidRPr="004B1E9D">
        <w:rPr>
          <w:rFonts w:ascii="Garamond" w:hAnsi="Garamond" w:cs="Arial"/>
          <w:color w:val="002060"/>
          <w:sz w:val="24"/>
          <w:szCs w:val="24"/>
        </w:rPr>
        <w:t>quaisquer riscos</w:t>
      </w:r>
      <w:r w:rsidR="00F77EED">
        <w:rPr>
          <w:rFonts w:ascii="Garamond" w:hAnsi="Garamond" w:cs="Arial"/>
          <w:color w:val="002060"/>
          <w:sz w:val="24"/>
          <w:szCs w:val="24"/>
        </w:rPr>
        <w:t xml:space="preserve">, </w:t>
      </w:r>
      <w:r w:rsidR="00F77EED" w:rsidRPr="004B1E9D">
        <w:rPr>
          <w:rFonts w:ascii="Garamond" w:hAnsi="Garamond" w:cs="Arial"/>
          <w:color w:val="002060"/>
          <w:sz w:val="24"/>
          <w:szCs w:val="24"/>
        </w:rPr>
        <w:t>inclusive riscos não gerenciáveis relacionados a concessões</w:t>
      </w:r>
      <w:r w:rsidR="00F77EED" w:rsidRPr="00F66BAD">
        <w:rPr>
          <w:rFonts w:ascii="Garamond" w:hAnsi="Garamond" w:cs="Arial"/>
          <w:color w:val="002060"/>
          <w:sz w:val="24"/>
          <w:szCs w:val="24"/>
        </w:rPr>
        <w:t xml:space="preserve">, observadas </w:t>
      </w:r>
      <w:r w:rsidRPr="00F66BAD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F77EED" w:rsidRPr="00F66BAD">
        <w:rPr>
          <w:rFonts w:ascii="Garamond" w:hAnsi="Garamond" w:cs="Arial"/>
          <w:color w:val="002060"/>
          <w:sz w:val="24"/>
          <w:szCs w:val="24"/>
        </w:rPr>
        <w:t xml:space="preserve">a condições e formas previstas em seu Estatuto, nas seguintes operações: i) projetos de infraestrutura de grande vulto ou de programas estratégicos definidos em ato do Poder Executivo; </w:t>
      </w:r>
      <w:proofErr w:type="spellStart"/>
      <w:r w:rsidR="00F77EED" w:rsidRPr="00F66BAD">
        <w:rPr>
          <w:rFonts w:ascii="Garamond" w:hAnsi="Garamond" w:cs="Arial"/>
          <w:color w:val="002060"/>
          <w:sz w:val="24"/>
          <w:szCs w:val="24"/>
        </w:rPr>
        <w:t>ii</w:t>
      </w:r>
      <w:proofErr w:type="spellEnd"/>
      <w:r w:rsidR="00F77EED" w:rsidRPr="00F66BAD">
        <w:rPr>
          <w:rFonts w:ascii="Garamond" w:hAnsi="Garamond" w:cs="Arial"/>
          <w:color w:val="002060"/>
          <w:sz w:val="24"/>
          <w:szCs w:val="24"/>
        </w:rPr>
        <w:t xml:space="preserve">) projetos de financiamento à construção naval; </w:t>
      </w:r>
      <w:proofErr w:type="spellStart"/>
      <w:r w:rsidR="00F77EED" w:rsidRPr="00F66BAD">
        <w:rPr>
          <w:rFonts w:ascii="Garamond" w:hAnsi="Garamond" w:cs="Arial"/>
          <w:color w:val="002060"/>
          <w:sz w:val="24"/>
          <w:szCs w:val="24"/>
        </w:rPr>
        <w:t>iii</w:t>
      </w:r>
      <w:proofErr w:type="spellEnd"/>
      <w:r w:rsidR="00F77EED" w:rsidRPr="00F66BAD">
        <w:rPr>
          <w:rFonts w:ascii="Garamond" w:hAnsi="Garamond" w:cs="Arial"/>
          <w:color w:val="002060"/>
          <w:sz w:val="24"/>
          <w:szCs w:val="24"/>
        </w:rPr>
        <w:t xml:space="preserve">) operações de crédito para o setor de aviação civil; </w:t>
      </w:r>
      <w:proofErr w:type="spellStart"/>
      <w:r w:rsidR="00F77EED" w:rsidRPr="00F66BAD">
        <w:rPr>
          <w:rFonts w:ascii="Garamond" w:hAnsi="Garamond" w:cs="Arial"/>
          <w:color w:val="002060"/>
          <w:sz w:val="24"/>
          <w:szCs w:val="24"/>
        </w:rPr>
        <w:t>iv</w:t>
      </w:r>
      <w:proofErr w:type="spellEnd"/>
      <w:r w:rsidR="00F77EED" w:rsidRPr="00F66BAD">
        <w:rPr>
          <w:rFonts w:ascii="Garamond" w:hAnsi="Garamond" w:cs="Arial"/>
          <w:color w:val="002060"/>
          <w:sz w:val="24"/>
          <w:szCs w:val="24"/>
        </w:rPr>
        <w:t>) projetos resultantes de Parcerias Público-Privadas (</w:t>
      </w:r>
      <w:proofErr w:type="spellStart"/>
      <w:r w:rsidR="00F77EED" w:rsidRPr="00F66BAD">
        <w:rPr>
          <w:rFonts w:ascii="Garamond" w:hAnsi="Garamond" w:cs="Arial"/>
          <w:color w:val="002060"/>
          <w:sz w:val="24"/>
          <w:szCs w:val="24"/>
        </w:rPr>
        <w:t>PPPs</w:t>
      </w:r>
      <w:proofErr w:type="spellEnd"/>
      <w:r w:rsidR="006E529B" w:rsidRPr="00F66BAD">
        <w:rPr>
          <w:rFonts w:ascii="Garamond" w:hAnsi="Garamond" w:cs="Arial"/>
          <w:color w:val="002060"/>
          <w:sz w:val="24"/>
          <w:szCs w:val="24"/>
        </w:rPr>
        <w:t xml:space="preserve">), inclusive os organizados por Estados ou Municípios; v) outros programas estratégicos vinculados a operações de infraestrutura definidos por ato do Poder Executivo; e 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vi) </w:t>
      </w:r>
      <w:r w:rsidR="006E529B" w:rsidRPr="00F66BAD">
        <w:rPr>
          <w:rFonts w:ascii="Garamond" w:hAnsi="Garamond" w:cs="Arial"/>
          <w:color w:val="002060"/>
          <w:sz w:val="24"/>
          <w:szCs w:val="24"/>
        </w:rPr>
        <w:t>projetos de construção, total ou parcial, de eclusas ou de outros dispositivos de transposição de níveis.</w:t>
      </w:r>
      <w:r w:rsidR="006E529B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F77EED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:rsidR="003C3DC3" w:rsidRPr="00CA6892" w:rsidRDefault="00621601" w:rsidP="003C3DC3">
      <w:pPr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O</w:t>
      </w:r>
      <w:r w:rsidRPr="00CA6892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>Patrimônio Líquido do FGIE</w:t>
      </w:r>
      <w:r>
        <w:rPr>
          <w:rFonts w:ascii="Garamond" w:hAnsi="Garamond" w:cs="Arial"/>
          <w:color w:val="002060"/>
          <w:sz w:val="24"/>
          <w:szCs w:val="24"/>
        </w:rPr>
        <w:t>,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 xml:space="preserve"> </w:t>
      </w:r>
      <w:r>
        <w:rPr>
          <w:rFonts w:ascii="Garamond" w:hAnsi="Garamond" w:cs="Arial"/>
          <w:color w:val="002060"/>
          <w:sz w:val="24"/>
          <w:szCs w:val="24"/>
        </w:rPr>
        <w:t>e</w:t>
      </w:r>
      <w:r w:rsidRPr="004B1E9D">
        <w:rPr>
          <w:rFonts w:ascii="Garamond" w:hAnsi="Garamond" w:cs="Arial"/>
          <w:color w:val="002060"/>
          <w:sz w:val="24"/>
          <w:szCs w:val="24"/>
        </w:rPr>
        <w:t>m 31</w:t>
      </w:r>
      <w:r>
        <w:rPr>
          <w:rFonts w:ascii="Garamond" w:hAnsi="Garamond" w:cs="Arial"/>
          <w:color w:val="002060"/>
          <w:sz w:val="24"/>
          <w:szCs w:val="24"/>
        </w:rPr>
        <w:t>/</w:t>
      </w:r>
      <w:r w:rsidRPr="004B1E9D">
        <w:rPr>
          <w:rFonts w:ascii="Garamond" w:hAnsi="Garamond" w:cs="Arial"/>
          <w:color w:val="002060"/>
          <w:sz w:val="24"/>
          <w:szCs w:val="24"/>
        </w:rPr>
        <w:t>12</w:t>
      </w:r>
      <w:r>
        <w:rPr>
          <w:rFonts w:ascii="Garamond" w:hAnsi="Garamond" w:cs="Arial"/>
          <w:color w:val="002060"/>
          <w:sz w:val="24"/>
          <w:szCs w:val="24"/>
        </w:rPr>
        <w:t>/</w:t>
      </w:r>
      <w:r w:rsidRPr="004B1E9D">
        <w:rPr>
          <w:rFonts w:ascii="Garamond" w:hAnsi="Garamond" w:cs="Arial"/>
          <w:color w:val="002060"/>
          <w:sz w:val="24"/>
          <w:szCs w:val="24"/>
        </w:rPr>
        <w:t>201</w:t>
      </w:r>
      <w:r>
        <w:rPr>
          <w:rFonts w:ascii="Garamond" w:hAnsi="Garamond" w:cs="Arial"/>
          <w:color w:val="002060"/>
          <w:sz w:val="24"/>
          <w:szCs w:val="24"/>
        </w:rPr>
        <w:t>9,</w:t>
      </w:r>
      <w:r w:rsidRPr="003C3DC3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 xml:space="preserve">era da ordem de R$ </w:t>
      </w:r>
      <w:r w:rsidR="00F822AB">
        <w:rPr>
          <w:rFonts w:ascii="Garamond" w:hAnsi="Garamond" w:cs="Arial"/>
          <w:color w:val="002060"/>
          <w:sz w:val="24"/>
          <w:szCs w:val="24"/>
        </w:rPr>
        <w:t>698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 xml:space="preserve"> milhões, </w:t>
      </w:r>
      <w:r w:rsidR="006E529B">
        <w:rPr>
          <w:rFonts w:ascii="Garamond" w:hAnsi="Garamond" w:cs="Arial"/>
          <w:color w:val="002060"/>
          <w:sz w:val="24"/>
          <w:szCs w:val="24"/>
        </w:rPr>
        <w:t xml:space="preserve">e </w:t>
      </w:r>
      <w:r>
        <w:rPr>
          <w:rFonts w:ascii="Garamond" w:hAnsi="Garamond" w:cs="Arial"/>
          <w:color w:val="002060"/>
          <w:sz w:val="24"/>
          <w:szCs w:val="24"/>
        </w:rPr>
        <w:t xml:space="preserve">foram </w:t>
      </w:r>
      <w:r w:rsidR="006E529B">
        <w:rPr>
          <w:rFonts w:ascii="Garamond" w:hAnsi="Garamond" w:cs="Arial"/>
          <w:color w:val="002060"/>
          <w:sz w:val="24"/>
          <w:szCs w:val="24"/>
        </w:rPr>
        <w:t xml:space="preserve">direcionados para operacionalização do Fundo em suas atividades e objetivos estatutários. </w:t>
      </w:r>
    </w:p>
    <w:p w:rsidR="00C51826" w:rsidRPr="00CA6892" w:rsidRDefault="00C51826" w:rsidP="003C3DC3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6E529B">
        <w:rPr>
          <w:rFonts w:ascii="Garamond" w:hAnsi="Garamond" w:cs="Arial"/>
          <w:color w:val="002060"/>
          <w:sz w:val="24"/>
          <w:szCs w:val="24"/>
        </w:rPr>
        <w:t>Encontra-se vigente a garantia emitida pelo Fundo Garantidor de Infraestru</w:t>
      </w:r>
      <w:r w:rsidRPr="006E529B">
        <w:rPr>
          <w:rFonts w:ascii="Garamond" w:hAnsi="Garamond" w:cs="Arial"/>
          <w:color w:val="002060"/>
          <w:sz w:val="24"/>
          <w:szCs w:val="24"/>
        </w:rPr>
        <w:softHyphen/>
        <w:t xml:space="preserve">tura (FGIE) que apoia a continuidade da execução de uma Parceria </w:t>
      </w:r>
      <w:r w:rsidR="00621601" w:rsidRPr="006E529B">
        <w:rPr>
          <w:rFonts w:ascii="Garamond" w:hAnsi="Garamond" w:cs="Arial"/>
          <w:color w:val="002060"/>
          <w:sz w:val="24"/>
          <w:szCs w:val="24"/>
        </w:rPr>
        <w:t>Públic</w:t>
      </w:r>
      <w:r w:rsidR="00621601">
        <w:rPr>
          <w:rFonts w:ascii="Garamond" w:hAnsi="Garamond" w:cs="Arial"/>
          <w:color w:val="002060"/>
          <w:sz w:val="24"/>
          <w:szCs w:val="24"/>
        </w:rPr>
        <w:t>o</w:t>
      </w:r>
      <w:r w:rsidR="00621601" w:rsidRPr="006E529B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6E529B">
        <w:rPr>
          <w:rFonts w:ascii="Garamond" w:hAnsi="Garamond" w:cs="Arial"/>
          <w:color w:val="002060"/>
          <w:sz w:val="24"/>
          <w:szCs w:val="24"/>
        </w:rPr>
        <w:t>Privada (PPP) realizada pelo município de Salto, no estado de São Paulo, para prestação de serviços de coleta e trata</w:t>
      </w:r>
      <w:r w:rsidRPr="006E529B">
        <w:rPr>
          <w:rFonts w:ascii="Garamond" w:hAnsi="Garamond" w:cs="Arial"/>
          <w:color w:val="002060"/>
          <w:sz w:val="24"/>
          <w:szCs w:val="24"/>
        </w:rPr>
        <w:softHyphen/>
        <w:t>mento de resíduos sólidos. O limite de cobertura, observadas as condições da garantia, é de R$ 6.179.615,40 (</w:t>
      </w:r>
      <w:r w:rsidR="00621601">
        <w:rPr>
          <w:rFonts w:ascii="Garamond" w:hAnsi="Garamond" w:cs="Arial"/>
          <w:color w:val="002060"/>
          <w:sz w:val="24"/>
          <w:szCs w:val="24"/>
        </w:rPr>
        <w:t>s</w:t>
      </w:r>
      <w:r w:rsidRPr="006E529B">
        <w:rPr>
          <w:rFonts w:ascii="Garamond" w:hAnsi="Garamond" w:cs="Arial"/>
          <w:color w:val="002060"/>
          <w:sz w:val="24"/>
          <w:szCs w:val="24"/>
        </w:rPr>
        <w:t>eis mi</w:t>
      </w:r>
      <w:r w:rsidRPr="006E529B">
        <w:rPr>
          <w:rFonts w:ascii="Garamond" w:hAnsi="Garamond" w:cs="Arial"/>
          <w:color w:val="002060"/>
          <w:sz w:val="24"/>
          <w:szCs w:val="24"/>
        </w:rPr>
        <w:softHyphen/>
        <w:t>lhões, cento e setenta e nove mil, seis</w:t>
      </w:r>
      <w:r w:rsidRPr="006E529B">
        <w:rPr>
          <w:rFonts w:ascii="Garamond" w:hAnsi="Garamond" w:cs="Arial"/>
          <w:color w:val="002060"/>
          <w:sz w:val="24"/>
          <w:szCs w:val="24"/>
        </w:rPr>
        <w:softHyphen/>
        <w:t>centos e quinze reais e quarenta centa</w:t>
      </w:r>
      <w:r w:rsidRPr="006E529B">
        <w:rPr>
          <w:rFonts w:ascii="Garamond" w:hAnsi="Garamond" w:cs="Arial"/>
          <w:color w:val="002060"/>
          <w:sz w:val="24"/>
          <w:szCs w:val="24"/>
        </w:rPr>
        <w:softHyphen/>
        <w:t xml:space="preserve">vos). A vigência da garantia teve início em 07/08/2019, após recolhimento da comissão pecuniária pelo </w:t>
      </w:r>
      <w:r w:rsidR="00621601">
        <w:rPr>
          <w:rFonts w:ascii="Garamond" w:hAnsi="Garamond" w:cs="Arial"/>
          <w:color w:val="002060"/>
          <w:sz w:val="24"/>
          <w:szCs w:val="24"/>
        </w:rPr>
        <w:t>p</w:t>
      </w:r>
      <w:r w:rsidRPr="006E529B">
        <w:rPr>
          <w:rFonts w:ascii="Garamond" w:hAnsi="Garamond" w:cs="Arial"/>
          <w:color w:val="002060"/>
          <w:sz w:val="24"/>
          <w:szCs w:val="24"/>
        </w:rPr>
        <w:t xml:space="preserve">arceiro </w:t>
      </w:r>
      <w:r w:rsidR="00621601">
        <w:rPr>
          <w:rFonts w:ascii="Garamond" w:hAnsi="Garamond" w:cs="Arial"/>
          <w:color w:val="002060"/>
          <w:sz w:val="24"/>
          <w:szCs w:val="24"/>
        </w:rPr>
        <w:t>p</w:t>
      </w:r>
      <w:r w:rsidR="00621601" w:rsidRPr="006E529B">
        <w:rPr>
          <w:rFonts w:ascii="Garamond" w:hAnsi="Garamond" w:cs="Arial"/>
          <w:color w:val="002060"/>
          <w:sz w:val="24"/>
          <w:szCs w:val="24"/>
        </w:rPr>
        <w:t>ri</w:t>
      </w:r>
      <w:r w:rsidR="00621601" w:rsidRPr="006E529B">
        <w:rPr>
          <w:rFonts w:ascii="Garamond" w:hAnsi="Garamond" w:cs="Arial"/>
          <w:color w:val="002060"/>
          <w:sz w:val="24"/>
          <w:szCs w:val="24"/>
        </w:rPr>
        <w:softHyphen/>
        <w:t>vado</w:t>
      </w:r>
      <w:r w:rsidRPr="006E529B">
        <w:rPr>
          <w:rFonts w:ascii="Garamond" w:hAnsi="Garamond" w:cs="Arial"/>
          <w:color w:val="002060"/>
          <w:sz w:val="24"/>
          <w:szCs w:val="24"/>
        </w:rPr>
        <w:t>.</w:t>
      </w:r>
    </w:p>
    <w:p w:rsidR="003C3DC3" w:rsidRPr="00CA6892" w:rsidRDefault="003C3DC3" w:rsidP="003C3DC3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CA6892">
        <w:rPr>
          <w:rFonts w:ascii="Garamond" w:hAnsi="Garamond" w:cs="Arial"/>
          <w:color w:val="002060"/>
          <w:sz w:val="24"/>
          <w:szCs w:val="24"/>
        </w:rPr>
        <w:t xml:space="preserve">Encontra-se em fase adiantada de conclusão a garantia FGIE para cobertura de risco de descumprimento de obrigações pecuniárias assumidas pelo parceiro público em contrato de </w:t>
      </w:r>
      <w:r w:rsidRPr="00CA6892">
        <w:rPr>
          <w:rFonts w:ascii="Garamond" w:hAnsi="Garamond" w:cs="Arial"/>
          <w:color w:val="002060"/>
          <w:sz w:val="24"/>
          <w:szCs w:val="24"/>
        </w:rPr>
        <w:lastRenderedPageBreak/>
        <w:t>Parceria Público-Privada para gestão da rede de comunicação integrada do Comando da Aeronáutica (C</w:t>
      </w:r>
      <w:r w:rsidR="00621601">
        <w:rPr>
          <w:rFonts w:ascii="Garamond" w:hAnsi="Garamond" w:cs="Arial"/>
          <w:color w:val="002060"/>
          <w:sz w:val="24"/>
          <w:szCs w:val="24"/>
        </w:rPr>
        <w:t>OMAER</w:t>
      </w:r>
      <w:r w:rsidRPr="00CA6892">
        <w:rPr>
          <w:rFonts w:ascii="Garamond" w:hAnsi="Garamond" w:cs="Arial"/>
          <w:color w:val="002060"/>
          <w:sz w:val="24"/>
          <w:szCs w:val="24"/>
        </w:rPr>
        <w:t>)</w:t>
      </w:r>
      <w:r w:rsidR="00C51826">
        <w:rPr>
          <w:rFonts w:ascii="Garamond" w:hAnsi="Garamond" w:cs="Arial"/>
          <w:color w:val="002060"/>
          <w:sz w:val="24"/>
          <w:szCs w:val="24"/>
        </w:rPr>
        <w:t xml:space="preserve"> – PPP-CRCIC</w:t>
      </w:r>
      <w:r w:rsidRPr="00CA6892">
        <w:rPr>
          <w:rFonts w:ascii="Garamond" w:hAnsi="Garamond" w:cs="Arial"/>
          <w:color w:val="002060"/>
          <w:sz w:val="24"/>
          <w:szCs w:val="24"/>
        </w:rPr>
        <w:t xml:space="preserve">. O </w:t>
      </w:r>
      <w:r w:rsidR="00621601">
        <w:rPr>
          <w:rFonts w:ascii="Garamond" w:hAnsi="Garamond" w:cs="Arial"/>
          <w:color w:val="002060"/>
          <w:sz w:val="24"/>
          <w:szCs w:val="24"/>
        </w:rPr>
        <w:t>r</w:t>
      </w:r>
      <w:r w:rsidRPr="00CA6892">
        <w:rPr>
          <w:rFonts w:ascii="Garamond" w:hAnsi="Garamond" w:cs="Arial"/>
          <w:color w:val="002060"/>
          <w:sz w:val="24"/>
          <w:szCs w:val="24"/>
        </w:rPr>
        <w:t xml:space="preserve">egulamento que viabiliza a operação foi publicado em abril de 2018. Atualmente, existem 68 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(sessenta e oito) </w:t>
      </w:r>
      <w:r w:rsidRPr="00CA6892">
        <w:rPr>
          <w:rFonts w:ascii="Garamond" w:hAnsi="Garamond" w:cs="Arial"/>
          <w:color w:val="002060"/>
          <w:sz w:val="24"/>
          <w:szCs w:val="24"/>
        </w:rPr>
        <w:t xml:space="preserve">contratos de transmissão de dados pulverizados geograficamente e gerenciados por diversas unidades militares da Aeronáutica.  </w:t>
      </w:r>
    </w:p>
    <w:p w:rsidR="003C3DC3" w:rsidRPr="00CA6892" w:rsidRDefault="003C3DC3" w:rsidP="003C3DC3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CA6892">
        <w:rPr>
          <w:rFonts w:ascii="Garamond" w:hAnsi="Garamond" w:cs="Arial"/>
          <w:color w:val="002060"/>
          <w:sz w:val="24"/>
          <w:szCs w:val="24"/>
        </w:rPr>
        <w:t xml:space="preserve">Com essa parceria, esses serviços serão prestados por um único parceiro privado, o que, além de agilizar a atualização tecnológica, irá possibilitar a economia de recursos públicos para o custeio das despesas. </w:t>
      </w:r>
    </w:p>
    <w:p w:rsidR="003048E2" w:rsidRDefault="007A4D10" w:rsidP="003C3DC3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7E59CF">
        <w:rPr>
          <w:rFonts w:ascii="Garamond" w:hAnsi="Garamond" w:cs="Arial"/>
          <w:color w:val="002060"/>
          <w:sz w:val="24"/>
          <w:szCs w:val="24"/>
        </w:rPr>
        <w:t xml:space="preserve">O respectivo </w:t>
      </w:r>
      <w:r w:rsidR="00621601">
        <w:rPr>
          <w:rFonts w:ascii="Garamond" w:hAnsi="Garamond" w:cs="Arial"/>
          <w:color w:val="002060"/>
          <w:sz w:val="24"/>
          <w:szCs w:val="24"/>
        </w:rPr>
        <w:t>“</w:t>
      </w:r>
      <w:r w:rsidRPr="007E59CF">
        <w:rPr>
          <w:rFonts w:ascii="Garamond" w:hAnsi="Garamond" w:cs="Arial"/>
          <w:color w:val="002060"/>
          <w:sz w:val="24"/>
          <w:szCs w:val="24"/>
        </w:rPr>
        <w:t>Aviso de Licitação</w:t>
      </w:r>
      <w:r w:rsidR="00621601">
        <w:rPr>
          <w:rFonts w:ascii="Garamond" w:hAnsi="Garamond" w:cs="Arial"/>
          <w:color w:val="002060"/>
          <w:sz w:val="24"/>
          <w:szCs w:val="24"/>
        </w:rPr>
        <w:t>”</w:t>
      </w:r>
      <w:r w:rsidRPr="007E59CF">
        <w:rPr>
          <w:rFonts w:ascii="Garamond" w:hAnsi="Garamond" w:cs="Arial"/>
          <w:color w:val="002060"/>
          <w:sz w:val="24"/>
          <w:szCs w:val="24"/>
        </w:rPr>
        <w:t xml:space="preserve"> foi publicado em 03</w:t>
      </w:r>
      <w:r w:rsidR="00621601">
        <w:rPr>
          <w:rFonts w:ascii="Garamond" w:hAnsi="Garamond" w:cs="Arial"/>
          <w:color w:val="002060"/>
          <w:sz w:val="24"/>
          <w:szCs w:val="24"/>
        </w:rPr>
        <w:t>/09/</w:t>
      </w:r>
      <w:r w:rsidRPr="007E59CF">
        <w:rPr>
          <w:rFonts w:ascii="Garamond" w:hAnsi="Garamond" w:cs="Arial"/>
          <w:color w:val="002060"/>
          <w:sz w:val="24"/>
          <w:szCs w:val="24"/>
        </w:rPr>
        <w:t xml:space="preserve">2018. O certame foi realizado na sede da </w:t>
      </w:r>
      <w:r w:rsidR="00621601">
        <w:rPr>
          <w:rFonts w:ascii="Garamond" w:hAnsi="Garamond" w:cs="Arial"/>
          <w:color w:val="002060"/>
          <w:sz w:val="24"/>
          <w:szCs w:val="24"/>
        </w:rPr>
        <w:t>bolsa de valores</w:t>
      </w:r>
      <w:r w:rsidRPr="007E59CF">
        <w:rPr>
          <w:rFonts w:ascii="Garamond" w:hAnsi="Garamond" w:cs="Arial"/>
          <w:color w:val="002060"/>
          <w:sz w:val="24"/>
          <w:szCs w:val="24"/>
        </w:rPr>
        <w:t>, em São Paulo – SP, no dia 26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7E59CF">
        <w:rPr>
          <w:rFonts w:ascii="Garamond" w:hAnsi="Garamond" w:cs="Arial"/>
          <w:color w:val="002060"/>
          <w:sz w:val="24"/>
          <w:szCs w:val="24"/>
        </w:rPr>
        <w:t>06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7E59CF">
        <w:rPr>
          <w:rFonts w:ascii="Garamond" w:hAnsi="Garamond" w:cs="Arial"/>
          <w:color w:val="002060"/>
          <w:sz w:val="24"/>
          <w:szCs w:val="24"/>
        </w:rPr>
        <w:t>2019, não houve empresas interessadas no projeto na forma apresentada</w:t>
      </w:r>
      <w:r>
        <w:rPr>
          <w:rFonts w:ascii="Garamond" w:hAnsi="Garamond" w:cs="Arial"/>
          <w:color w:val="002060"/>
          <w:sz w:val="24"/>
          <w:szCs w:val="24"/>
        </w:rPr>
        <w:t>. O</w:t>
      </w:r>
      <w:r w:rsidRPr="007E59CF">
        <w:rPr>
          <w:rFonts w:ascii="Garamond" w:hAnsi="Garamond" w:cs="Arial"/>
          <w:color w:val="002060"/>
          <w:sz w:val="24"/>
          <w:szCs w:val="24"/>
        </w:rPr>
        <w:t xml:space="preserve"> </w:t>
      </w:r>
      <w:proofErr w:type="spellStart"/>
      <w:r w:rsidRPr="007E59CF">
        <w:rPr>
          <w:rFonts w:ascii="Garamond" w:hAnsi="Garamond" w:cs="Arial"/>
          <w:color w:val="002060"/>
          <w:sz w:val="24"/>
          <w:szCs w:val="24"/>
        </w:rPr>
        <w:t>C</w:t>
      </w:r>
      <w:r w:rsidR="00621601">
        <w:rPr>
          <w:rFonts w:ascii="Garamond" w:hAnsi="Garamond" w:cs="Arial"/>
          <w:color w:val="002060"/>
          <w:sz w:val="24"/>
          <w:szCs w:val="24"/>
        </w:rPr>
        <w:t>OMAeR</w:t>
      </w:r>
      <w:proofErr w:type="spellEnd"/>
      <w:r w:rsidRPr="007E59CF">
        <w:rPr>
          <w:rFonts w:ascii="Garamond" w:hAnsi="Garamond" w:cs="Arial"/>
          <w:color w:val="002060"/>
          <w:sz w:val="24"/>
          <w:szCs w:val="24"/>
        </w:rPr>
        <w:t xml:space="preserve"> realizou a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justes </w:t>
      </w:r>
      <w:r w:rsidRPr="007E59CF">
        <w:rPr>
          <w:rFonts w:ascii="Garamond" w:hAnsi="Garamond" w:cs="Arial"/>
          <w:color w:val="002060"/>
          <w:sz w:val="24"/>
          <w:szCs w:val="24"/>
        </w:rPr>
        <w:t xml:space="preserve">nos documentos do projeto e irá 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republicar e prorrogar </w:t>
      </w:r>
      <w:r w:rsidRPr="007E59CF">
        <w:rPr>
          <w:rFonts w:ascii="Garamond" w:hAnsi="Garamond" w:cs="Arial"/>
          <w:color w:val="002060"/>
          <w:sz w:val="24"/>
          <w:szCs w:val="24"/>
        </w:rPr>
        <w:t>o Edital que trata da PPP</w:t>
      </w:r>
      <w:r w:rsidR="00621601">
        <w:rPr>
          <w:rFonts w:ascii="Garamond" w:hAnsi="Garamond" w:cs="Arial"/>
          <w:color w:val="002060"/>
          <w:sz w:val="24"/>
          <w:szCs w:val="24"/>
        </w:rPr>
        <w:t>,</w:t>
      </w:r>
      <w:r w:rsidRPr="007E59CF">
        <w:rPr>
          <w:rFonts w:ascii="Garamond" w:hAnsi="Garamond" w:cs="Arial"/>
          <w:color w:val="002060"/>
          <w:sz w:val="24"/>
          <w:szCs w:val="24"/>
        </w:rPr>
        <w:t xml:space="preserve"> para licitação ainda no primeiro semestre de 2020</w:t>
      </w:r>
      <w:r>
        <w:t>.</w:t>
      </w:r>
      <w:r w:rsidR="00621601">
        <w:t xml:space="preserve"> </w:t>
      </w:r>
      <w:r w:rsidR="00621601" w:rsidRPr="009F6F06">
        <w:rPr>
          <w:rFonts w:ascii="Garamond" w:hAnsi="Garamond" w:cs="Arial"/>
          <w:color w:val="002060"/>
          <w:sz w:val="24"/>
          <w:szCs w:val="24"/>
        </w:rPr>
        <w:t xml:space="preserve">Portanto, </w:t>
      </w:r>
      <w:r w:rsidR="00621601">
        <w:rPr>
          <w:rFonts w:ascii="Garamond" w:hAnsi="Garamond" w:cs="Arial"/>
          <w:color w:val="002060"/>
          <w:sz w:val="24"/>
          <w:szCs w:val="24"/>
        </w:rPr>
        <w:t>a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 xml:space="preserve"> assinatura do </w:t>
      </w:r>
      <w:r w:rsidR="00621601">
        <w:rPr>
          <w:rFonts w:ascii="Garamond" w:hAnsi="Garamond" w:cs="Arial"/>
          <w:color w:val="002060"/>
          <w:sz w:val="24"/>
          <w:szCs w:val="24"/>
        </w:rPr>
        <w:t xml:space="preserve">eventual </w:t>
      </w:r>
      <w:r w:rsidR="003C3DC3" w:rsidRPr="00CA6892">
        <w:rPr>
          <w:rFonts w:ascii="Garamond" w:hAnsi="Garamond" w:cs="Arial"/>
          <w:color w:val="002060"/>
          <w:sz w:val="24"/>
          <w:szCs w:val="24"/>
        </w:rPr>
        <w:t>certificado de garantia está prevista para o 2º semestre de 2020.</w:t>
      </w:r>
    </w:p>
    <w:p w:rsidR="00C5074C" w:rsidRDefault="00C5074C" w:rsidP="00C5074C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C5074C">
        <w:rPr>
          <w:rFonts w:ascii="Garamond" w:hAnsi="Garamond" w:cs="Arial"/>
          <w:color w:val="002060"/>
          <w:sz w:val="24"/>
          <w:szCs w:val="24"/>
        </w:rPr>
        <w:t xml:space="preserve">De acordo com as deliberações da 14ª Assembleia Geral Extraordinária de Acionistas – </w:t>
      </w:r>
      <w:proofErr w:type="gramStart"/>
      <w:r w:rsidRPr="00C5074C">
        <w:rPr>
          <w:rFonts w:ascii="Garamond" w:hAnsi="Garamond" w:cs="Arial"/>
          <w:color w:val="002060"/>
          <w:sz w:val="24"/>
          <w:szCs w:val="24"/>
        </w:rPr>
        <w:t>AGE ,</w:t>
      </w:r>
      <w:proofErr w:type="gramEnd"/>
      <w:r w:rsidRPr="00C5074C">
        <w:rPr>
          <w:rFonts w:ascii="Garamond" w:hAnsi="Garamond" w:cs="Arial"/>
          <w:color w:val="002060"/>
          <w:sz w:val="24"/>
          <w:szCs w:val="24"/>
        </w:rPr>
        <w:t xml:space="preserve"> realizada em 05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C5074C">
        <w:rPr>
          <w:rFonts w:ascii="Garamond" w:hAnsi="Garamond" w:cs="Arial"/>
          <w:color w:val="002060"/>
          <w:sz w:val="24"/>
          <w:szCs w:val="24"/>
        </w:rPr>
        <w:t>12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C5074C">
        <w:rPr>
          <w:rFonts w:ascii="Garamond" w:hAnsi="Garamond" w:cs="Arial"/>
          <w:color w:val="002060"/>
          <w:sz w:val="24"/>
          <w:szCs w:val="24"/>
        </w:rPr>
        <w:t>2019, foi autorizada, dentre outras medidas, a redução d</w:t>
      </w:r>
      <w:r w:rsidR="00621601">
        <w:rPr>
          <w:rFonts w:ascii="Garamond" w:hAnsi="Garamond" w:cs="Arial"/>
          <w:color w:val="002060"/>
          <w:sz w:val="24"/>
          <w:szCs w:val="24"/>
        </w:rPr>
        <w:t>o</w:t>
      </w:r>
      <w:r w:rsidRPr="00C5074C">
        <w:rPr>
          <w:rFonts w:ascii="Garamond" w:hAnsi="Garamond" w:cs="Arial"/>
          <w:color w:val="002060"/>
          <w:sz w:val="24"/>
          <w:szCs w:val="24"/>
        </w:rPr>
        <w:t xml:space="preserve"> capital social da ABGF mediante a transferên</w:t>
      </w:r>
      <w:r w:rsidRPr="00C5074C">
        <w:rPr>
          <w:rFonts w:ascii="Garamond" w:hAnsi="Garamond" w:cs="Arial"/>
          <w:color w:val="002060"/>
          <w:sz w:val="24"/>
          <w:szCs w:val="24"/>
        </w:rPr>
        <w:softHyphen/>
        <w:t>cia de titularidade das cotas do FGIE para a União. A referida transferência foi efetivada em 17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C5074C">
        <w:rPr>
          <w:rFonts w:ascii="Garamond" w:hAnsi="Garamond" w:cs="Arial"/>
          <w:color w:val="002060"/>
          <w:sz w:val="24"/>
          <w:szCs w:val="24"/>
        </w:rPr>
        <w:t>12</w:t>
      </w:r>
      <w:r w:rsidR="00621601">
        <w:rPr>
          <w:rFonts w:ascii="Garamond" w:hAnsi="Garamond" w:cs="Arial"/>
          <w:color w:val="002060"/>
          <w:sz w:val="24"/>
          <w:szCs w:val="24"/>
        </w:rPr>
        <w:t>/</w:t>
      </w:r>
      <w:r w:rsidRPr="00C5074C">
        <w:rPr>
          <w:rFonts w:ascii="Garamond" w:hAnsi="Garamond" w:cs="Arial"/>
          <w:color w:val="002060"/>
          <w:sz w:val="24"/>
          <w:szCs w:val="24"/>
        </w:rPr>
        <w:t xml:space="preserve">2019, com o processamento contábil da baixa de patrimônio do </w:t>
      </w:r>
      <w:r w:rsidR="00621601">
        <w:rPr>
          <w:rFonts w:ascii="Garamond" w:hAnsi="Garamond" w:cs="Arial"/>
          <w:color w:val="002060"/>
          <w:sz w:val="24"/>
          <w:szCs w:val="24"/>
        </w:rPr>
        <w:t>respectivo</w:t>
      </w:r>
      <w:r w:rsidR="00582E3B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C5074C">
        <w:rPr>
          <w:rFonts w:ascii="Garamond" w:hAnsi="Garamond" w:cs="Arial"/>
          <w:color w:val="002060"/>
          <w:sz w:val="24"/>
          <w:szCs w:val="24"/>
        </w:rPr>
        <w:t>Fundo, mantendo-se em 0,01% a participação da ABGF no referido Patrimônio.</w:t>
      </w:r>
    </w:p>
    <w:p w:rsidR="006E1560" w:rsidRPr="004B1E9D" w:rsidRDefault="00582E3B" w:rsidP="00C5074C">
      <w:pPr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Neste ano a ABGF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t xml:space="preserve"> envidar</w:t>
      </w:r>
      <w:r>
        <w:rPr>
          <w:rFonts w:ascii="Garamond" w:hAnsi="Garamond" w:cs="Arial"/>
          <w:color w:val="002060"/>
          <w:sz w:val="24"/>
          <w:szCs w:val="24"/>
        </w:rPr>
        <w:t>á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t xml:space="preserve"> esforços para emissão da garantia da PPP do </w:t>
      </w:r>
      <w:r>
        <w:rPr>
          <w:rFonts w:ascii="Garamond" w:hAnsi="Garamond" w:cs="Arial"/>
          <w:color w:val="002060"/>
          <w:sz w:val="24"/>
          <w:szCs w:val="24"/>
        </w:rPr>
        <w:t>C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t>o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mando da Aeronáutica, com a assina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tura do Certificado de Garantia, e apro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vação dos regulamentos no âmbito da Assembleia de Cotistas do Fundo, bem como continuar</w:t>
      </w:r>
      <w:r>
        <w:rPr>
          <w:rFonts w:ascii="Garamond" w:hAnsi="Garamond" w:cs="Arial"/>
          <w:color w:val="002060"/>
          <w:sz w:val="24"/>
          <w:szCs w:val="24"/>
        </w:rPr>
        <w:t>á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t xml:space="preserve"> monitorando a garan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tia da PPP de Salto, além de se certifi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car que o processo de desestatização e eventual transferência da gestão do Fundo ocorra de forma célere, com in</w:t>
      </w:r>
      <w:r w:rsidR="006E1560" w:rsidRPr="006E1560">
        <w:rPr>
          <w:rFonts w:ascii="Garamond" w:hAnsi="Garamond" w:cs="Arial"/>
          <w:color w:val="002060"/>
          <w:sz w:val="24"/>
          <w:szCs w:val="24"/>
        </w:rPr>
        <w:softHyphen/>
        <w:t>tegridade e eficiência.</w:t>
      </w:r>
    </w:p>
    <w:p w:rsidR="003048E2" w:rsidRPr="004B1E9D" w:rsidRDefault="00582E3B" w:rsidP="003048E2">
      <w:pPr>
        <w:pStyle w:val="Ttulo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2.2 </w:t>
      </w:r>
      <w:r w:rsidR="003048E2" w:rsidRPr="004B1E9D">
        <w:rPr>
          <w:rFonts w:ascii="Garamond" w:hAnsi="Garamond"/>
          <w:color w:val="002060"/>
        </w:rPr>
        <w:t>Seguro de Crédito à Exportação – SCE</w:t>
      </w:r>
    </w:p>
    <w:p w:rsidR="003048E2" w:rsidRPr="004B1E9D" w:rsidRDefault="003048E2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A ABGF presta serviços para a </w:t>
      </w:r>
      <w:r w:rsidR="007A4D10">
        <w:rPr>
          <w:rFonts w:ascii="Garamond" w:hAnsi="Garamond" w:cs="Arial"/>
          <w:color w:val="002060"/>
          <w:sz w:val="24"/>
          <w:szCs w:val="24"/>
        </w:rPr>
        <w:t>Secretaria Executiva da Câmara de Comércio Exterior do Ministério da Economia</w:t>
      </w:r>
      <w:r w:rsidR="00415DBD" w:rsidRPr="00415DBD">
        <w:rPr>
          <w:rFonts w:ascii="Garamond" w:hAnsi="Garamond" w:cs="Arial"/>
          <w:color w:val="002060"/>
          <w:sz w:val="24"/>
          <w:szCs w:val="24"/>
        </w:rPr>
        <w:t xml:space="preserve"> (SE</w:t>
      </w:r>
      <w:r w:rsidR="007A4D10">
        <w:rPr>
          <w:rFonts w:ascii="Garamond" w:hAnsi="Garamond" w:cs="Arial"/>
          <w:color w:val="002060"/>
          <w:sz w:val="24"/>
          <w:szCs w:val="24"/>
        </w:rPr>
        <w:t>-CAMEX</w:t>
      </w:r>
      <w:r w:rsidR="00415DBD" w:rsidRPr="00415DBD">
        <w:rPr>
          <w:rFonts w:ascii="Garamond" w:hAnsi="Garamond" w:cs="Arial"/>
          <w:color w:val="002060"/>
          <w:sz w:val="24"/>
          <w:szCs w:val="24"/>
        </w:rPr>
        <w:t>/ME)</w:t>
      </w:r>
      <w:r w:rsidR="005B1954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na execução dos serviços de SCE previstos na Lei nº 6.704/1979 e cobertos com recursos do </w:t>
      </w:r>
      <w:r w:rsidR="00582E3B">
        <w:rPr>
          <w:rFonts w:ascii="Garamond" w:hAnsi="Garamond" w:cs="Arial"/>
          <w:color w:val="002060"/>
          <w:sz w:val="24"/>
          <w:szCs w:val="24"/>
        </w:rPr>
        <w:t>Fundo de Garantia à Exportação (</w:t>
      </w:r>
      <w:r w:rsidRPr="004B1E9D">
        <w:rPr>
          <w:rFonts w:ascii="Garamond" w:hAnsi="Garamond" w:cs="Arial"/>
          <w:color w:val="002060"/>
          <w:sz w:val="24"/>
          <w:szCs w:val="24"/>
        </w:rPr>
        <w:t>FGE</w:t>
      </w:r>
      <w:r w:rsidR="00582E3B">
        <w:rPr>
          <w:rFonts w:ascii="Garamond" w:hAnsi="Garamond" w:cs="Arial"/>
          <w:color w:val="002060"/>
          <w:sz w:val="24"/>
          <w:szCs w:val="24"/>
        </w:rPr>
        <w:t>)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. Os serviços prestados pela ABGF incluem análise, acompanhamento, monitoramento, gestão dos riscos e das coberturas de </w:t>
      </w:r>
      <w:r w:rsidR="00582E3B">
        <w:rPr>
          <w:rFonts w:ascii="Garamond" w:hAnsi="Garamond" w:cs="Arial"/>
          <w:color w:val="002060"/>
          <w:sz w:val="24"/>
          <w:szCs w:val="24"/>
        </w:rPr>
        <w:t>S</w:t>
      </w:r>
      <w:r w:rsidR="00582E3B" w:rsidRPr="004B1E9D">
        <w:rPr>
          <w:rFonts w:ascii="Garamond" w:hAnsi="Garamond" w:cs="Arial"/>
          <w:color w:val="002060"/>
          <w:sz w:val="24"/>
          <w:szCs w:val="24"/>
        </w:rPr>
        <w:t xml:space="preserve">eguro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de </w:t>
      </w:r>
      <w:r w:rsidR="00582E3B">
        <w:rPr>
          <w:rFonts w:ascii="Garamond" w:hAnsi="Garamond" w:cs="Arial"/>
          <w:color w:val="002060"/>
          <w:sz w:val="24"/>
          <w:szCs w:val="24"/>
        </w:rPr>
        <w:t>C</w:t>
      </w:r>
      <w:r w:rsidR="00582E3B" w:rsidRPr="004B1E9D">
        <w:rPr>
          <w:rFonts w:ascii="Garamond" w:hAnsi="Garamond" w:cs="Arial"/>
          <w:color w:val="002060"/>
          <w:sz w:val="24"/>
          <w:szCs w:val="24"/>
        </w:rPr>
        <w:t xml:space="preserve">rédito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à </w:t>
      </w:r>
      <w:r w:rsidR="00582E3B">
        <w:rPr>
          <w:rFonts w:ascii="Garamond" w:hAnsi="Garamond" w:cs="Arial"/>
          <w:color w:val="002060"/>
          <w:sz w:val="24"/>
          <w:szCs w:val="24"/>
        </w:rPr>
        <w:t>E</w:t>
      </w:r>
      <w:r w:rsidR="00582E3B" w:rsidRPr="004B1E9D">
        <w:rPr>
          <w:rFonts w:ascii="Garamond" w:hAnsi="Garamond" w:cs="Arial"/>
          <w:color w:val="002060"/>
          <w:sz w:val="24"/>
          <w:szCs w:val="24"/>
        </w:rPr>
        <w:t xml:space="preserve">xportação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ao amparo do FGE e </w:t>
      </w:r>
      <w:r w:rsidR="002D6B9A">
        <w:rPr>
          <w:rFonts w:ascii="Garamond" w:hAnsi="Garamond" w:cs="Arial"/>
          <w:color w:val="002060"/>
          <w:sz w:val="24"/>
          <w:szCs w:val="24"/>
        </w:rPr>
        <w:t xml:space="preserve">a gestão de </w:t>
      </w:r>
      <w:r w:rsidRPr="004B1E9D">
        <w:rPr>
          <w:rFonts w:ascii="Garamond" w:hAnsi="Garamond" w:cs="Arial"/>
          <w:color w:val="002060"/>
          <w:sz w:val="24"/>
          <w:szCs w:val="24"/>
        </w:rPr>
        <w:t>eventual recuperação de crédito sinistrado.</w:t>
      </w:r>
    </w:p>
    <w:p w:rsidR="003048E2" w:rsidRDefault="003048E2" w:rsidP="003048E2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>A ABGF conduz</w:t>
      </w:r>
      <w:r w:rsidR="00582E3B">
        <w:rPr>
          <w:rFonts w:ascii="Garamond" w:hAnsi="Garamond" w:cs="Arial"/>
          <w:color w:val="002060"/>
          <w:sz w:val="24"/>
          <w:szCs w:val="24"/>
        </w:rPr>
        <w:t>iu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a gestão de garantias de seguro de crédito à exportação tanto para Micro, Pequenas e Médias Empresas (MPME) quanto para grandes companhias</w:t>
      </w:r>
      <w:r w:rsidR="008B3BF8" w:rsidRPr="004B1E9D">
        <w:rPr>
          <w:rFonts w:ascii="Garamond" w:hAnsi="Garamond" w:cs="Arial"/>
          <w:color w:val="002060"/>
          <w:sz w:val="24"/>
          <w:szCs w:val="24"/>
        </w:rPr>
        <w:t xml:space="preserve">, </w:t>
      </w:r>
      <w:r w:rsidR="003352AB" w:rsidRPr="004B1E9D">
        <w:rPr>
          <w:rFonts w:ascii="Garamond" w:hAnsi="Garamond" w:cs="Arial"/>
          <w:color w:val="002060"/>
          <w:sz w:val="24"/>
          <w:szCs w:val="24"/>
        </w:rPr>
        <w:t>busca</w:t>
      </w:r>
      <w:r w:rsidR="00AE2800" w:rsidRPr="004B1E9D">
        <w:rPr>
          <w:rFonts w:ascii="Garamond" w:hAnsi="Garamond" w:cs="Arial"/>
          <w:color w:val="002060"/>
          <w:sz w:val="24"/>
          <w:szCs w:val="24"/>
        </w:rPr>
        <w:t>n</w:t>
      </w:r>
      <w:r w:rsidR="003352AB" w:rsidRPr="004B1E9D">
        <w:rPr>
          <w:rFonts w:ascii="Garamond" w:hAnsi="Garamond" w:cs="Arial"/>
          <w:color w:val="002060"/>
          <w:sz w:val="24"/>
          <w:szCs w:val="24"/>
        </w:rPr>
        <w:t>do contribuir para potencializar as exportações do País.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:rsidR="00ED1833" w:rsidRPr="00ED1833" w:rsidRDefault="00ED1833" w:rsidP="00ED1833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ED1833">
        <w:rPr>
          <w:rFonts w:ascii="Garamond" w:hAnsi="Garamond" w:cs="Arial"/>
          <w:color w:val="002060"/>
          <w:sz w:val="24"/>
          <w:szCs w:val="24"/>
        </w:rPr>
        <w:t>O SCE passou por um período de contingenciamento, sendo realizada aprovação de apenas uma operação no âmbito do FGE, resultado em linha com a restrição orçamentária e a ava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liação de um novo modelo de apoio à exportação por parte do Governo Fe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deral.</w:t>
      </w:r>
    </w:p>
    <w:p w:rsidR="00ED1833" w:rsidRPr="00ED1833" w:rsidRDefault="00ED1833" w:rsidP="00ED1833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ED1833">
        <w:rPr>
          <w:rFonts w:ascii="Garamond" w:hAnsi="Garamond" w:cs="Arial"/>
          <w:color w:val="002060"/>
          <w:sz w:val="24"/>
          <w:szCs w:val="24"/>
        </w:rPr>
        <w:lastRenderedPageBreak/>
        <w:t xml:space="preserve">Em função da </w:t>
      </w:r>
      <w:r w:rsidR="00582E3B">
        <w:rPr>
          <w:rFonts w:ascii="Garamond" w:hAnsi="Garamond" w:cs="Arial"/>
          <w:color w:val="002060"/>
          <w:sz w:val="24"/>
          <w:szCs w:val="24"/>
        </w:rPr>
        <w:t xml:space="preserve">mencionada </w:t>
      </w:r>
      <w:r w:rsidRPr="00ED1833">
        <w:rPr>
          <w:rFonts w:ascii="Garamond" w:hAnsi="Garamond" w:cs="Arial"/>
          <w:color w:val="002060"/>
          <w:sz w:val="24"/>
          <w:szCs w:val="24"/>
        </w:rPr>
        <w:t>restrição enfrentada pelo Governo Federal no ano anterior, em março de 2019 a ABGF passou a oferecer garantia direta para operações com prazo de até dois anos apresentadas por Micro, Pequenas e Médias Empresas (MPME). Esta garan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 xml:space="preserve">tia </w:t>
      </w:r>
      <w:r w:rsidR="00582E3B">
        <w:rPr>
          <w:rFonts w:ascii="Garamond" w:hAnsi="Garamond" w:cs="Arial"/>
          <w:color w:val="002060"/>
          <w:sz w:val="24"/>
          <w:szCs w:val="24"/>
        </w:rPr>
        <w:t>ficou disponível</w:t>
      </w:r>
      <w:r w:rsidRPr="00ED1833">
        <w:rPr>
          <w:rFonts w:ascii="Garamond" w:hAnsi="Garamond" w:cs="Arial"/>
          <w:color w:val="002060"/>
          <w:sz w:val="24"/>
          <w:szCs w:val="24"/>
        </w:rPr>
        <w:t xml:space="preserve"> somente para pedidos de seguro na modalidade ‘Pós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-Embarque’ sem intermediação bancá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ria, ou seja, com recursos do exporta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dor.</w:t>
      </w:r>
    </w:p>
    <w:p w:rsidR="00ED1833" w:rsidRPr="00ED1833" w:rsidRDefault="00ED1833" w:rsidP="00ED1833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ED1833">
        <w:rPr>
          <w:rFonts w:ascii="Garamond" w:hAnsi="Garamond" w:cs="Arial"/>
          <w:color w:val="002060"/>
          <w:sz w:val="24"/>
          <w:szCs w:val="24"/>
        </w:rPr>
        <w:t xml:space="preserve">Foram analisadas 40 </w:t>
      </w:r>
      <w:r w:rsidR="00582E3B">
        <w:rPr>
          <w:rFonts w:ascii="Garamond" w:hAnsi="Garamond" w:cs="Arial"/>
          <w:color w:val="002060"/>
          <w:sz w:val="24"/>
          <w:szCs w:val="24"/>
        </w:rPr>
        <w:t xml:space="preserve">(quarenta) </w:t>
      </w:r>
      <w:r w:rsidRPr="00ED1833">
        <w:rPr>
          <w:rFonts w:ascii="Garamond" w:hAnsi="Garamond" w:cs="Arial"/>
          <w:color w:val="002060"/>
          <w:sz w:val="24"/>
          <w:szCs w:val="24"/>
        </w:rPr>
        <w:t xml:space="preserve">propostas de </w:t>
      </w:r>
      <w:r w:rsidR="00582E3B">
        <w:rPr>
          <w:rFonts w:ascii="Garamond" w:hAnsi="Garamond" w:cs="Arial"/>
          <w:color w:val="002060"/>
          <w:sz w:val="24"/>
          <w:szCs w:val="24"/>
        </w:rPr>
        <w:t>S</w:t>
      </w:r>
      <w:r w:rsidR="00582E3B" w:rsidRPr="00ED1833">
        <w:rPr>
          <w:rFonts w:ascii="Garamond" w:hAnsi="Garamond" w:cs="Arial"/>
          <w:color w:val="002060"/>
          <w:sz w:val="24"/>
          <w:szCs w:val="24"/>
        </w:rPr>
        <w:t>e</w:t>
      </w:r>
      <w:r w:rsidR="00582E3B" w:rsidRPr="00ED1833">
        <w:rPr>
          <w:rFonts w:ascii="Garamond" w:hAnsi="Garamond" w:cs="Arial"/>
          <w:color w:val="002060"/>
          <w:sz w:val="24"/>
          <w:szCs w:val="24"/>
        </w:rPr>
        <w:softHyphen/>
        <w:t xml:space="preserve">guro </w:t>
      </w:r>
      <w:r w:rsidRPr="00ED1833">
        <w:rPr>
          <w:rFonts w:ascii="Garamond" w:hAnsi="Garamond" w:cs="Arial"/>
          <w:color w:val="002060"/>
          <w:sz w:val="24"/>
          <w:szCs w:val="24"/>
        </w:rPr>
        <w:t xml:space="preserve">de </w:t>
      </w:r>
      <w:r w:rsidR="00582E3B">
        <w:rPr>
          <w:rFonts w:ascii="Garamond" w:hAnsi="Garamond" w:cs="Arial"/>
          <w:color w:val="002060"/>
          <w:sz w:val="24"/>
          <w:szCs w:val="24"/>
        </w:rPr>
        <w:t>C</w:t>
      </w:r>
      <w:r w:rsidR="00582E3B" w:rsidRPr="00ED1833">
        <w:rPr>
          <w:rFonts w:ascii="Garamond" w:hAnsi="Garamond" w:cs="Arial"/>
          <w:color w:val="002060"/>
          <w:sz w:val="24"/>
          <w:szCs w:val="24"/>
        </w:rPr>
        <w:t xml:space="preserve">rédito </w:t>
      </w:r>
      <w:r w:rsidRPr="00ED1833">
        <w:rPr>
          <w:rFonts w:ascii="Garamond" w:hAnsi="Garamond" w:cs="Arial"/>
          <w:color w:val="002060"/>
          <w:sz w:val="24"/>
          <w:szCs w:val="24"/>
        </w:rPr>
        <w:t xml:space="preserve">à </w:t>
      </w:r>
      <w:r w:rsidR="00582E3B">
        <w:rPr>
          <w:rFonts w:ascii="Garamond" w:hAnsi="Garamond" w:cs="Arial"/>
          <w:color w:val="002060"/>
          <w:sz w:val="24"/>
          <w:szCs w:val="24"/>
        </w:rPr>
        <w:t>E</w:t>
      </w:r>
      <w:r w:rsidR="00582E3B" w:rsidRPr="00ED1833">
        <w:rPr>
          <w:rFonts w:ascii="Garamond" w:hAnsi="Garamond" w:cs="Arial"/>
          <w:color w:val="002060"/>
          <w:sz w:val="24"/>
          <w:szCs w:val="24"/>
        </w:rPr>
        <w:t>xportação</w:t>
      </w:r>
      <w:r w:rsidRPr="00ED1833">
        <w:rPr>
          <w:rFonts w:ascii="Garamond" w:hAnsi="Garamond" w:cs="Arial"/>
          <w:color w:val="002060"/>
          <w:sz w:val="24"/>
          <w:szCs w:val="24"/>
        </w:rPr>
        <w:t>. Duas ope</w:t>
      </w:r>
      <w:r w:rsidRPr="00ED1833">
        <w:rPr>
          <w:rFonts w:ascii="Garamond" w:hAnsi="Garamond" w:cs="Arial"/>
          <w:color w:val="002060"/>
          <w:sz w:val="24"/>
          <w:szCs w:val="24"/>
        </w:rPr>
        <w:softHyphen/>
        <w:t>rações foram aprovadas, possibilitando</w:t>
      </w:r>
      <w:r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ED1833">
        <w:rPr>
          <w:rFonts w:ascii="Garamond" w:hAnsi="Garamond" w:cs="Arial"/>
          <w:color w:val="002060"/>
          <w:sz w:val="24"/>
          <w:szCs w:val="24"/>
        </w:rPr>
        <w:t>a oferta de cobertura para exportações com destino ao Uruguai e ao Peru. Uma das operações apresentou sinistro por mora pura e simples do devedor.</w:t>
      </w:r>
    </w:p>
    <w:p w:rsidR="00ED1833" w:rsidRPr="004B1E9D" w:rsidRDefault="00582E3B" w:rsidP="00ED1833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 xml:space="preserve">Todavia, </w:t>
      </w:r>
      <w:r w:rsidR="00811BEA">
        <w:rPr>
          <w:rFonts w:ascii="Garamond" w:hAnsi="Garamond" w:cs="Arial"/>
          <w:color w:val="002060"/>
          <w:sz w:val="24"/>
          <w:szCs w:val="24"/>
        </w:rPr>
        <w:t>em razão da</w:t>
      </w:r>
      <w:r>
        <w:rPr>
          <w:rFonts w:ascii="Garamond" w:hAnsi="Garamond" w:cs="Arial"/>
          <w:color w:val="002060"/>
          <w:sz w:val="24"/>
          <w:szCs w:val="24"/>
        </w:rPr>
        <w:t xml:space="preserve"> inclusão no PND, 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t>o Conselho de Administração suspendeu a prestação de garantia di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softHyphen/>
        <w:t>reta em operações SCE/MPME.</w:t>
      </w:r>
      <w:r>
        <w:rPr>
          <w:rFonts w:ascii="Garamond" w:hAnsi="Garamond" w:cs="Arial"/>
          <w:color w:val="002060"/>
          <w:sz w:val="24"/>
          <w:szCs w:val="24"/>
        </w:rPr>
        <w:t xml:space="preserve"> Assim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t xml:space="preserve">, os esforços se concentraram na elaboração de manuais de procedimento das atividades relacionadas ao SCE/FGE para a transferência dos serviços ao Ministério da Economia. Com relação às operações de SCE com garantia direta ABGF, </w:t>
      </w:r>
      <w:r>
        <w:rPr>
          <w:rFonts w:ascii="Garamond" w:hAnsi="Garamond" w:cs="Arial"/>
          <w:color w:val="002060"/>
          <w:sz w:val="24"/>
          <w:szCs w:val="24"/>
        </w:rPr>
        <w:t>está previsto n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t xml:space="preserve">o Planejamento Estratégico </w:t>
      </w:r>
      <w:r>
        <w:rPr>
          <w:rFonts w:ascii="Garamond" w:hAnsi="Garamond" w:cs="Arial"/>
          <w:color w:val="002060"/>
          <w:sz w:val="24"/>
          <w:szCs w:val="24"/>
        </w:rPr>
        <w:t>o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t xml:space="preserve"> cancelamento da autorização de funcionamento da ABGF, </w:t>
      </w:r>
      <w:r>
        <w:rPr>
          <w:rFonts w:ascii="Garamond" w:hAnsi="Garamond" w:cs="Arial"/>
          <w:color w:val="002060"/>
          <w:sz w:val="24"/>
          <w:szCs w:val="24"/>
        </w:rPr>
        <w:t>para</w:t>
      </w:r>
      <w:r w:rsidR="00ED1833" w:rsidRPr="00ED1833">
        <w:rPr>
          <w:rFonts w:ascii="Garamond" w:hAnsi="Garamond" w:cs="Arial"/>
          <w:color w:val="002060"/>
          <w:sz w:val="24"/>
          <w:szCs w:val="24"/>
        </w:rPr>
        <w:t xml:space="preserve"> a descontinuidade definitiva do produto.</w:t>
      </w:r>
    </w:p>
    <w:p w:rsidR="003048E2" w:rsidRPr="004B1E9D" w:rsidRDefault="00582E3B" w:rsidP="003048E2">
      <w:pPr>
        <w:pStyle w:val="Ttulo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2.3 </w:t>
      </w:r>
      <w:r w:rsidR="003048E2" w:rsidRPr="004B1E9D">
        <w:rPr>
          <w:rFonts w:ascii="Garamond" w:hAnsi="Garamond"/>
          <w:color w:val="002060"/>
        </w:rPr>
        <w:t xml:space="preserve">Fundo de Estabilidade do Seguro Rural – FESR </w:t>
      </w:r>
    </w:p>
    <w:p w:rsidR="003322BC" w:rsidRPr="004B1E9D" w:rsidRDefault="003048E2" w:rsidP="003322BC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O FESR, criado por meio do Decreto-Lei nº 73/1966, tem por finalidade manter e garantir o equilíbrio das operações do seguro rural no </w:t>
      </w:r>
      <w:r w:rsidR="00AE2800" w:rsidRPr="004B1E9D">
        <w:rPr>
          <w:rFonts w:ascii="Garamond" w:hAnsi="Garamond" w:cs="Arial"/>
          <w:color w:val="002060"/>
          <w:sz w:val="24"/>
          <w:szCs w:val="24"/>
        </w:rPr>
        <w:t>P</w:t>
      </w:r>
      <w:r w:rsidRPr="004B1E9D">
        <w:rPr>
          <w:rFonts w:ascii="Garamond" w:hAnsi="Garamond" w:cs="Arial"/>
          <w:color w:val="002060"/>
          <w:sz w:val="24"/>
          <w:szCs w:val="24"/>
        </w:rPr>
        <w:t>aís, bem como atender à cobertura suplementar dos riscos de catástrofe inerentes às atividades rurais. Estão abrangidas pelas regras do FESR as seguintes modalidades de seguro: Agrícola, Pecuário, Aquícola, Florestais e de Penhor Rural.</w:t>
      </w:r>
      <w:r w:rsidR="003322BC" w:rsidRPr="004B1E9D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2F1A91">
        <w:rPr>
          <w:rFonts w:ascii="Garamond" w:hAnsi="Garamond" w:cs="Arial"/>
          <w:color w:val="002060"/>
          <w:sz w:val="24"/>
          <w:szCs w:val="24"/>
        </w:rPr>
        <w:t>O</w:t>
      </w:r>
      <w:r w:rsidR="002F1A91" w:rsidRPr="004B1E9D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3322BC" w:rsidRPr="004B1E9D">
        <w:rPr>
          <w:rFonts w:ascii="Garamond" w:hAnsi="Garamond" w:cs="Arial"/>
          <w:color w:val="002060"/>
          <w:sz w:val="24"/>
          <w:szCs w:val="24"/>
        </w:rPr>
        <w:t xml:space="preserve">Patrimônio Líquido do Fundo era de </w:t>
      </w:r>
      <w:r w:rsidR="0086734D">
        <w:rPr>
          <w:rFonts w:ascii="Garamond" w:hAnsi="Garamond" w:cs="Arial"/>
          <w:color w:val="002060"/>
          <w:sz w:val="24"/>
          <w:szCs w:val="24"/>
        </w:rPr>
        <w:t xml:space="preserve">       </w:t>
      </w:r>
      <w:r w:rsidR="003322BC" w:rsidRPr="004B1E9D">
        <w:rPr>
          <w:rFonts w:ascii="Garamond" w:hAnsi="Garamond" w:cs="Arial"/>
          <w:color w:val="002060"/>
          <w:sz w:val="24"/>
          <w:szCs w:val="24"/>
        </w:rPr>
        <w:t xml:space="preserve">R$ </w:t>
      </w:r>
      <w:r w:rsidR="00711F7A">
        <w:rPr>
          <w:rFonts w:ascii="Garamond" w:hAnsi="Garamond" w:cs="Arial"/>
          <w:color w:val="002060"/>
          <w:sz w:val="24"/>
          <w:szCs w:val="24"/>
        </w:rPr>
        <w:t>3.263,2</w:t>
      </w:r>
      <w:r w:rsidR="003322BC" w:rsidRPr="004B1E9D">
        <w:rPr>
          <w:rFonts w:ascii="Garamond" w:hAnsi="Garamond" w:cs="Arial"/>
          <w:color w:val="002060"/>
          <w:sz w:val="24"/>
          <w:szCs w:val="24"/>
        </w:rPr>
        <w:t>milhões</w:t>
      </w:r>
      <w:r w:rsidR="002F1A91" w:rsidRPr="002F1A91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2F1A91">
        <w:rPr>
          <w:rFonts w:ascii="Garamond" w:hAnsi="Garamond" w:cs="Arial"/>
          <w:color w:val="002060"/>
          <w:sz w:val="24"/>
          <w:szCs w:val="24"/>
        </w:rPr>
        <w:t>e</w:t>
      </w:r>
      <w:r w:rsidR="002F1A91" w:rsidRPr="004B1E9D">
        <w:rPr>
          <w:rFonts w:ascii="Garamond" w:hAnsi="Garamond" w:cs="Arial"/>
          <w:color w:val="002060"/>
          <w:sz w:val="24"/>
          <w:szCs w:val="24"/>
        </w:rPr>
        <w:t>m 31</w:t>
      </w:r>
      <w:r w:rsidR="002F1A91">
        <w:rPr>
          <w:rFonts w:ascii="Garamond" w:hAnsi="Garamond" w:cs="Arial"/>
          <w:color w:val="002060"/>
          <w:sz w:val="24"/>
          <w:szCs w:val="24"/>
        </w:rPr>
        <w:t>/12/</w:t>
      </w:r>
      <w:r w:rsidR="002F1A91" w:rsidRPr="004B1E9D">
        <w:rPr>
          <w:rFonts w:ascii="Garamond" w:hAnsi="Garamond" w:cs="Arial"/>
          <w:color w:val="002060"/>
          <w:sz w:val="24"/>
          <w:szCs w:val="24"/>
        </w:rPr>
        <w:t>201</w:t>
      </w:r>
      <w:r w:rsidR="002F1A91">
        <w:rPr>
          <w:rFonts w:ascii="Garamond" w:hAnsi="Garamond" w:cs="Arial"/>
          <w:color w:val="002060"/>
          <w:sz w:val="24"/>
          <w:szCs w:val="24"/>
        </w:rPr>
        <w:t>9</w:t>
      </w:r>
      <w:r w:rsidR="003322BC" w:rsidRPr="004B1E9D">
        <w:rPr>
          <w:rFonts w:ascii="Garamond" w:hAnsi="Garamond" w:cs="Arial"/>
          <w:color w:val="002060"/>
          <w:sz w:val="24"/>
          <w:szCs w:val="24"/>
        </w:rPr>
        <w:t>.</w:t>
      </w:r>
    </w:p>
    <w:p w:rsidR="00294842" w:rsidRPr="004B1E9D" w:rsidRDefault="003048E2" w:rsidP="0029484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, </w:t>
      </w:r>
      <w:r w:rsidR="002F1A91">
        <w:rPr>
          <w:rFonts w:ascii="Garamond" w:hAnsi="Garamond" w:cs="Arial"/>
          <w:color w:val="002060"/>
          <w:sz w:val="24"/>
          <w:szCs w:val="24"/>
        </w:rPr>
        <w:t>A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ABGF é </w:t>
      </w:r>
      <w:r w:rsidR="00AE2800" w:rsidRPr="004B1E9D">
        <w:rPr>
          <w:rFonts w:ascii="Garamond" w:hAnsi="Garamond" w:cs="Arial"/>
          <w:color w:val="002060"/>
          <w:sz w:val="24"/>
          <w:szCs w:val="24"/>
        </w:rPr>
        <w:t>responsável pela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gestão do Fundo de Estabilidade do Seguro Rural até a completa liquidação das obrigações do Fundo</w:t>
      </w:r>
      <w:r w:rsidR="002F1A91" w:rsidRPr="002F1A91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2F1A91">
        <w:rPr>
          <w:rFonts w:ascii="Garamond" w:hAnsi="Garamond" w:cs="Arial"/>
          <w:color w:val="002060"/>
          <w:sz w:val="24"/>
          <w:szCs w:val="24"/>
        </w:rPr>
        <w:t>d</w:t>
      </w:r>
      <w:r w:rsidR="002F1A91" w:rsidRPr="004B1E9D">
        <w:rPr>
          <w:rFonts w:ascii="Garamond" w:hAnsi="Garamond" w:cs="Arial"/>
          <w:color w:val="002060"/>
          <w:sz w:val="24"/>
          <w:szCs w:val="24"/>
        </w:rPr>
        <w:t>esde julho de 2015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. O exercício social do FESR, de acordo com a Resolução do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Conselho Nacional de Seguros Privados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(CNSP) nº 339/2016</w:t>
      </w:r>
      <w:r w:rsidR="002F1A91">
        <w:rPr>
          <w:rFonts w:ascii="Garamond" w:hAnsi="Garamond" w:cs="Arial"/>
          <w:color w:val="002060"/>
          <w:sz w:val="24"/>
          <w:szCs w:val="24"/>
        </w:rPr>
        <w:t>, de 11/05/</w:t>
      </w:r>
      <w:proofErr w:type="gramStart"/>
      <w:r w:rsidR="002F1A91">
        <w:rPr>
          <w:rFonts w:ascii="Garamond" w:hAnsi="Garamond" w:cs="Arial"/>
          <w:color w:val="002060"/>
          <w:sz w:val="24"/>
          <w:szCs w:val="24"/>
        </w:rPr>
        <w:t>2016,</w:t>
      </w:r>
      <w:r w:rsidRPr="004B1E9D">
        <w:rPr>
          <w:rFonts w:ascii="Garamond" w:hAnsi="Garamond" w:cs="Arial"/>
          <w:color w:val="002060"/>
          <w:sz w:val="24"/>
          <w:szCs w:val="24"/>
        </w:rPr>
        <w:t>,</w:t>
      </w:r>
      <w:proofErr w:type="gramEnd"/>
      <w:r w:rsidRPr="004B1E9D">
        <w:rPr>
          <w:rFonts w:ascii="Garamond" w:hAnsi="Garamond" w:cs="Arial"/>
          <w:color w:val="002060"/>
          <w:sz w:val="24"/>
          <w:szCs w:val="24"/>
        </w:rPr>
        <w:t xml:space="preserve"> é de 1º de janeiro até 31 de dezembro do mesmo ano. </w:t>
      </w:r>
      <w:r w:rsidR="00294842" w:rsidRPr="004B1E9D">
        <w:rPr>
          <w:rFonts w:ascii="Garamond" w:hAnsi="Garamond" w:cs="Arial"/>
          <w:color w:val="002060"/>
          <w:sz w:val="24"/>
          <w:szCs w:val="24"/>
        </w:rPr>
        <w:t xml:space="preserve">Em 12 de junho de 2017, foi publicado o Decreto nº 9078, que </w:t>
      </w:r>
      <w:r w:rsidR="002F1A91">
        <w:rPr>
          <w:rFonts w:ascii="Garamond" w:hAnsi="Garamond" w:cs="Arial"/>
          <w:color w:val="002060"/>
          <w:sz w:val="24"/>
          <w:szCs w:val="24"/>
        </w:rPr>
        <w:t>estabeleceu</w:t>
      </w:r>
      <w:r w:rsidR="00294842" w:rsidRPr="004B1E9D">
        <w:rPr>
          <w:rFonts w:ascii="Garamond" w:hAnsi="Garamond" w:cs="Arial"/>
          <w:color w:val="002060"/>
          <w:sz w:val="24"/>
          <w:szCs w:val="24"/>
        </w:rPr>
        <w:t xml:space="preserve"> a remuneração da ABGF pela gestão do Fundo de Estabilidade do Seguro Rural, resultando em percepção de receita</w:t>
      </w:r>
      <w:r w:rsidR="002F1A91">
        <w:rPr>
          <w:rFonts w:ascii="Garamond" w:hAnsi="Garamond" w:cs="Arial"/>
          <w:color w:val="002060"/>
          <w:sz w:val="24"/>
          <w:szCs w:val="24"/>
        </w:rPr>
        <w:t xml:space="preserve"> pela Empresa</w:t>
      </w:r>
      <w:r w:rsidR="00294842" w:rsidRPr="004B1E9D">
        <w:rPr>
          <w:rFonts w:ascii="Garamond" w:hAnsi="Garamond" w:cs="Arial"/>
          <w:color w:val="002060"/>
          <w:sz w:val="24"/>
          <w:szCs w:val="24"/>
        </w:rPr>
        <w:t xml:space="preserve">, a partir de 13 de julho de 2017. </w:t>
      </w:r>
    </w:p>
    <w:p w:rsidR="003048E2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A ABGF desenvolveu internamente o Sistema de Gestão do FESR (SGFE</w:t>
      </w:r>
      <w:r w:rsidR="005B1954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R), com o objetivo de aprimorar e modernizar o processo de apuração do Fundo e a comunicação entre a ABGF e as seguradoras participantes, permitindo o recebimento de documentação das seguradoras, além de consolidar em ambiente acessível, via internet, os dados dos participantes do Fundo. </w:t>
      </w:r>
      <w:r w:rsidR="00711F7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Em 2019 a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Controladoria-</w:t>
      </w:r>
      <w:r w:rsidR="00711F7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Geral da União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(</w:t>
      </w:r>
      <w:r w:rsidR="00711F7A">
        <w:rPr>
          <w:rFonts w:ascii="Garamond" w:eastAsia="Klavika-Bold" w:hAnsi="Garamond" w:cs="Arial"/>
          <w:bCs/>
          <w:color w:val="002060"/>
          <w:sz w:val="24"/>
          <w:szCs w:val="24"/>
        </w:rPr>
        <w:t>CGU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)</w:t>
      </w:r>
      <w:r w:rsidR="00711F7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auditou </w:t>
      </w:r>
      <w:r w:rsidR="00711F7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prestação de serviços da ABGF para o FESR. </w:t>
      </w:r>
    </w:p>
    <w:p w:rsidR="00BB3ECC" w:rsidRPr="00BB3ECC" w:rsidRDefault="00BB3ECC" w:rsidP="00BB3ECC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Em seu relatório,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a CGU considerou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corretos os cálculos das apurações realizadas pela ABGF e dos valores recebidos pela empresa em função da remuneração dos ser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viços prestados ao FESR, além disso, recomendou que a próxima unidade gestora do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f</w:t>
      </w:r>
      <w:r w:rsidR="002F1A91"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undo 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>inicie tratativas com a SUSEP para avaliação de sistemática de compartilhamento de dados ne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cessários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à</w:t>
      </w:r>
      <w:r w:rsidR="002F1A91"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t>validação das informações declaradas pelas seguradoras no âm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bito do FESR. </w:t>
      </w:r>
    </w:p>
    <w:p w:rsidR="00711F7A" w:rsidRPr="004B1E9D" w:rsidRDefault="00BB3ECC" w:rsidP="00BB3ECC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lastRenderedPageBreak/>
        <w:t>No contexto do PND, é responsabi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lidade da ABGF certificar-se que a transferência dos processos atinentes ao FESR seja realizada da melhor for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ma possível, para isso a empresa atu</w:t>
      </w:r>
      <w:r w:rsidRPr="00BB3EC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alizou as normas internas do Fundo e elaborou manuais operacionais e de uso do Sistema de Gestão do FESR - SGFESR.</w:t>
      </w:r>
    </w:p>
    <w:p w:rsidR="003048E2" w:rsidRPr="004B1E9D" w:rsidRDefault="002F1A91" w:rsidP="003048E2">
      <w:pPr>
        <w:pStyle w:val="Ttulo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2.4 </w:t>
      </w:r>
      <w:r w:rsidR="003048E2" w:rsidRPr="004B1E9D">
        <w:rPr>
          <w:rFonts w:ascii="Garamond" w:hAnsi="Garamond"/>
          <w:color w:val="002060"/>
        </w:rPr>
        <w:t>Fundo de Indenizações do Seguro Obrigatório de Embarcações</w:t>
      </w:r>
      <w:r>
        <w:rPr>
          <w:rFonts w:ascii="Garamond" w:hAnsi="Garamond"/>
          <w:color w:val="002060"/>
        </w:rPr>
        <w:t xml:space="preserve"> - DPEM</w:t>
      </w:r>
    </w:p>
    <w:p w:rsidR="003048E2" w:rsidRPr="004B1E9D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f</w:t>
      </w:r>
      <w:r w:rsidR="002F1A91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undo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FUNDPEM teve sua criação autorizada pela Lei nº 13.313/2016, que alterou as Leis nº 12.712/2012 e 8.374/1991, e é destinado para a cobertura de indenizações por morte ou por invalidez permanente, bem como das despesas de assistência médica e suplementares, causadas exclusivamente por acidentes com embarcações não identificadas ou que estejam inadimplentes quanto ao pagamento do seguro </w:t>
      </w:r>
      <w:bookmarkStart w:id="20" w:name="page23"/>
      <w:bookmarkEnd w:id="20"/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obrigatório DPEM. </w:t>
      </w:r>
      <w:r w:rsidR="002F1A91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É administrado, gerido e representado pela ABGF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.</w:t>
      </w:r>
      <w:r w:rsidR="002F1A91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Nos termos da legislação, as indenizações passa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ra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m a ser devidas por esse fundo de direito privado, o qual foi constituído em 23 de janeiro de 2018</w:t>
      </w:r>
      <w:r w:rsidR="0020675F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.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</w:p>
    <w:p w:rsidR="003048E2" w:rsidRPr="004B1E9D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referida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l</w:t>
      </w:r>
      <w:r w:rsidR="002F1A91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ei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estabelece que o patrimônio do FUNDPEM será formado por parcela dos prêmios arrecadados pelo seguro DPEM, pelo resultado das aplicações financeiras dos seus recursos e por outras fontes definidas pelo CNSP. A </w:t>
      </w:r>
      <w:r w:rsidR="002F1A91">
        <w:rPr>
          <w:rFonts w:ascii="Garamond" w:eastAsia="Klavika-Bold" w:hAnsi="Garamond" w:cs="Arial"/>
          <w:bCs/>
          <w:color w:val="002060"/>
          <w:sz w:val="24"/>
          <w:szCs w:val="24"/>
        </w:rPr>
        <w:t>l</w:t>
      </w:r>
      <w:r w:rsidR="002F1A91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ei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define, ainda, que o FUNDPEM somente poderá indenizar se houver disponibilidade de recursos gerados pelos prêmios de seguros cobrados pelas seguradoras privadas no DPEM.</w:t>
      </w:r>
    </w:p>
    <w:p w:rsidR="003048E2" w:rsidRPr="004B1E9D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legislação define que o CNSP disporá sobre as obrigações, os prazos para a implementação e a remuneração devida à administradora do fundo. Contudo, deve-se observar que a partir de abril de 2016 o mercado segurador privado deixou de oferecer o seguro DPEM, motivo pelo qual se tornou sem efeito a exigência de sua obrigatoriedade, nos termos do § 3º do art. 14 da Lei nº 8.374/1991, o que impossibilitou a formação do patrimônio do FUNDPEM. </w:t>
      </w:r>
    </w:p>
    <w:p w:rsidR="003048E2" w:rsidRDefault="002F1A91" w:rsidP="003048E2">
      <w:pPr>
        <w:pStyle w:val="Ttulo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2.5 </w:t>
      </w:r>
      <w:r w:rsidR="003048E2" w:rsidRPr="004B1E9D">
        <w:rPr>
          <w:rFonts w:ascii="Garamond" w:hAnsi="Garamond"/>
          <w:color w:val="002060"/>
        </w:rPr>
        <w:t xml:space="preserve">Fundos </w:t>
      </w:r>
      <w:r w:rsidR="00294842" w:rsidRPr="004B1E9D">
        <w:rPr>
          <w:rFonts w:ascii="Garamond" w:hAnsi="Garamond"/>
          <w:color w:val="002060"/>
        </w:rPr>
        <w:t>Garantidores</w:t>
      </w:r>
    </w:p>
    <w:p w:rsidR="003048E2" w:rsidRPr="004B1E9D" w:rsidRDefault="000C2621" w:rsidP="003048E2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Com a qualificação da ABGF no PND</w:t>
      </w:r>
      <w:r w:rsidR="00895827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382439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foi realizada a </w:t>
      </w:r>
      <w:r w:rsidR="002F1A91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14ª</w:t>
      </w:r>
      <w:r w:rsidR="00382439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Assembleia Geral Extraordinária, em 05/12/2019, </w:t>
      </w:r>
      <w:r w:rsidR="002F1A91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que</w:t>
      </w:r>
      <w:r w:rsidR="00382439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aprovou a redução do capital da </w:t>
      </w:r>
      <w:r w:rsidR="002F1A91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ABGF</w:t>
      </w:r>
      <w:r w:rsidR="002F1A91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382439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mediante a transferência, para a União, das cotas dos fundos garantidores FGO, FGI, FGHab e FGIE, sendo que, para este último, foi mantida participação estatutária de 0,01% do PL do </w:t>
      </w:r>
      <w:r w:rsidR="002F1A91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</w:t>
      </w:r>
      <w:r w:rsidR="002F1A91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undo </w:t>
      </w:r>
      <w:r w:rsidR="00382439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(art. 4º do Estatuto do Fundo). </w:t>
      </w:r>
    </w:p>
    <w:p w:rsidR="00C01CF8" w:rsidRDefault="00C01CF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p w:rsidR="00895827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B1E9D">
        <w:rPr>
          <w:rFonts w:ascii="Garamond" w:hAnsi="Garamond" w:cs="Arial"/>
          <w:b/>
          <w:color w:val="002060"/>
          <w:sz w:val="24"/>
          <w:szCs w:val="24"/>
        </w:rPr>
        <w:t>3. Metas relativas ao desenvolvimento de atividades que atendam aos objetivos de políticas públicas.</w:t>
      </w:r>
    </w:p>
    <w:p w:rsidR="00895827" w:rsidRDefault="00895827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 ABGF revisou, em dezembro de 2018, seu Planejamento Estratégico para o ciclo 2019-2023. A revisão anual passa pela reavaliação dos direciona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dores (missão, visão, valores, diretri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zes e objetivos estratégicos), da Matriz SWOT, bem como o conjunto de ações estratégicas necessárias para sua via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bilização.</w:t>
      </w:r>
    </w:p>
    <w:p w:rsidR="00895827" w:rsidRPr="007E59CF" w:rsidRDefault="00895827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Os principais focos dessa revisão con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sideraram maior ênfase na inovação e na vertente negocial da ABGF diante das novas perspectivas e do novo mo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delo de atuação através da emissão direta de garantias em Seguro de Cré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 xml:space="preserve">dito à Exportação, levando em conta o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lastRenderedPageBreak/>
        <w:t>lançamento de novos produtos e na consolidação das atuais linhas de ne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gócios da empresa, de forma inovado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ra e eficiente, para melhor atendimen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to de seus clientes.</w:t>
      </w:r>
    </w:p>
    <w:p w:rsidR="00895827" w:rsidRPr="007E59CF" w:rsidRDefault="00895827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As diretrizes estratégicas estabeleci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das visavam melhorar o índice de efi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ciência operacional, na consolidação de produtos e prospecção de novos negócios, no desenvolvimento de re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lacionamento proativo com os clien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tes e no desenvolvimento de soluções inovadoras em processos e em Tecno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logia da Informação.</w:t>
      </w:r>
    </w:p>
    <w:p w:rsidR="00895827" w:rsidRPr="007E59CF" w:rsidRDefault="00895827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Para o alcance dos desafios propos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tos, o conjunto de ações estratégicas também foi revisado para que con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tribuíssem com os objetivos estabe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lecidos, baseado nas premissas de relevância estratégica e contribuição para a consecução dos seus negócios, abrangendo a sustentabilidade finan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ceira da empresa, promoção de negó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cios empreendedores e inovadores, aprimoramento da gestão de risco, otimização de processos e mecanis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mos de controle, aperfeiçoamento da comunicação institucional, moderni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zação da estrutura física e tecnológica e melhoria na gestão de pessoas.</w:t>
      </w:r>
    </w:p>
    <w:p w:rsidR="00895827" w:rsidRPr="00895827" w:rsidRDefault="002F1A91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Contudo, a luz dos pressupostos que foram considerados para qualificar e incluir a ABGF no PND, quais sejam,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: </w:t>
      </w:r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i)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reordenar a posição estratégica do Estado na economia, transferindo à iniciativa privada atividades indevida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 xml:space="preserve">mente exploradas pelo setor público; </w:t>
      </w:r>
      <w:proofErr w:type="spellStart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</w:t>
      </w:r>
      <w:proofErr w:type="spellEnd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) 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permitir que a administração pública federal concentre seus esforços nas atividades em que a presença do Esta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do seja fundamental para a consecu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 xml:space="preserve">ção das prioridades nacionais; </w:t>
      </w:r>
      <w:proofErr w:type="spellStart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iii</w:t>
      </w:r>
      <w:proofErr w:type="spellEnd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) 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contribuir para a reestruturação eco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nômica do setor público, especialmen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te através da melhoria do perfil e da redução da d</w:t>
      </w: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í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vida pública líquida; e </w:t>
      </w:r>
      <w:proofErr w:type="spellStart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iv</w:t>
      </w:r>
      <w:proofErr w:type="spellEnd"/>
      <w:r w:rsid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) 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ampliar as oportunidades de investi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mento e emprego no País e de estimu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lar o desenvolvimento econômico na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 xml:space="preserve">cional, em especial por meio de ações centradas na ampliação e na melhoria dos serviços voltados ao cidadão. </w:t>
      </w:r>
    </w:p>
    <w:p w:rsidR="00895827" w:rsidRDefault="00811BEA" w:rsidP="00895827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O</w:t>
      </w:r>
      <w:r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conjunto de ações estratégicas </w:t>
      </w: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teve que ser 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ajustado com o in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tuito de concentrar esforços organiza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cionais para asse</w:t>
      </w:r>
      <w:r w:rsidR="00895827" w:rsidRPr="008958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gurar a sustentabilidade financeira da empresa, aprimorar a gestão de risco, otimizar processos e mecanismos de controle e aperfeiçoar a comunicação institucional.</w:t>
      </w:r>
    </w:p>
    <w:p w:rsidR="00462579" w:rsidRPr="007E59CF" w:rsidRDefault="00462579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Em dezembro de 2019, o Conselho de Administração aprovou a revisão do Planejamento Estratégico ciclo 2020- 2024. Para esse novo período, a iden</w:t>
      </w:r>
      <w:r w:rsidRP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tidade organizacional foi reformula</w:t>
      </w:r>
      <w:r w:rsidRPr="0046257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softHyphen/>
        <w:t>da, com alterações na missão, visão e valores, além do realinhamento das diretrizes estratégicas, tendo como principal direcionador o processo de desestatização da ABGF.</w:t>
      </w:r>
    </w:p>
    <w:p w:rsidR="00C01CF8" w:rsidRDefault="00C01CF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p w:rsidR="00131C20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B1E9D">
        <w:rPr>
          <w:rFonts w:ascii="Garamond" w:hAnsi="Garamond" w:cs="Arial"/>
          <w:b/>
          <w:color w:val="002060"/>
          <w:sz w:val="24"/>
          <w:szCs w:val="24"/>
        </w:rPr>
        <w:t xml:space="preserve">4. </w:t>
      </w:r>
      <w:r w:rsidR="00C660CB" w:rsidRPr="004B1E9D">
        <w:rPr>
          <w:rFonts w:ascii="Garamond" w:hAnsi="Garamond" w:cs="Arial"/>
          <w:b/>
          <w:color w:val="002060"/>
          <w:sz w:val="24"/>
          <w:szCs w:val="24"/>
        </w:rPr>
        <w:t>Desempenho Econômico-Financeiro</w:t>
      </w:r>
    </w:p>
    <w:p w:rsidR="00116BA1" w:rsidRDefault="00131C20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ABGF, no exercício de 2019, auferiu receita de serviços com a administração e gestão do </w:t>
      </w:r>
      <w:proofErr w:type="gramStart"/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FGIE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,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FESR</w:t>
      </w:r>
      <w:proofErr w:type="gramEnd"/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e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em razão d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prestação de serviços para a SE-CAMEX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referente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ao Seguro de Crédito à Exportação. O total de receitas t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eve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queda de 9,33%, sendo redução de 33,92 na receita de administração do FGIE, aumento de 13,78% na gestão do FESR, e redução de 10,29% na prestação de serviços de SCE, conforme demonstrado a seguir: </w:t>
      </w:r>
      <w:r w:rsidR="00C660CB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</w:p>
    <w:p w:rsidR="00C01CF8" w:rsidRDefault="00C01CF8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</w:p>
    <w:p w:rsidR="00C01CF8" w:rsidRPr="007E59CF" w:rsidRDefault="00C01CF8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</w:p>
    <w:p w:rsidR="00E77ED9" w:rsidRPr="00BF2110" w:rsidRDefault="0026202C" w:rsidP="00E77ED9">
      <w:pPr>
        <w:spacing w:after="0"/>
        <w:ind w:right="-1"/>
        <w:jc w:val="both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</w:pPr>
      <w:r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lastRenderedPageBreak/>
        <w:t>Comparativo de r</w:t>
      </w:r>
      <w:r w:rsidR="00E77ED9"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 xml:space="preserve">eceitas </w:t>
      </w:r>
      <w:r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 xml:space="preserve">operacionais: </w:t>
      </w:r>
      <w:r w:rsidR="00E77ED9"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201</w:t>
      </w:r>
      <w:r w:rsid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9</w:t>
      </w:r>
      <w:r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/</w:t>
      </w:r>
      <w:r w:rsidR="00E77ED9" w:rsidRP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201</w:t>
      </w:r>
      <w:r w:rsidR="00BF2110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8</w:t>
      </w:r>
    </w:p>
    <w:p w:rsidR="00E77ED9" w:rsidRPr="007E59CF" w:rsidRDefault="0026202C" w:rsidP="0026202C">
      <w:pPr>
        <w:tabs>
          <w:tab w:val="right" w:pos="3402"/>
        </w:tabs>
        <w:spacing w:after="0" w:line="240" w:lineRule="auto"/>
        <w:ind w:firstLine="2835"/>
        <w:jc w:val="right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</w:pP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BF2110"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ab/>
      </w:r>
      <w:r w:rsidRPr="007E59CF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R$ milhões</w:t>
      </w:r>
    </w:p>
    <w:tbl>
      <w:tblPr>
        <w:tblW w:w="8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04"/>
        <w:gridCol w:w="160"/>
        <w:gridCol w:w="1276"/>
        <w:gridCol w:w="160"/>
        <w:gridCol w:w="1361"/>
      </w:tblGrid>
      <w:tr w:rsidR="004B1E9D" w:rsidRPr="00131C20" w:rsidTr="00D91D70">
        <w:trPr>
          <w:trHeight w:hRule="exact"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noWrap/>
            <w:vAlign w:val="bottom"/>
            <w:hideMark/>
          </w:tcPr>
          <w:p w:rsidR="00E77ED9" w:rsidRPr="00BF2110" w:rsidRDefault="00E77ED9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noWrap/>
            <w:vAlign w:val="bottom"/>
            <w:hideMark/>
          </w:tcPr>
          <w:p w:rsidR="00E77ED9" w:rsidRPr="007E59CF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7E59CF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201</w:t>
            </w:r>
            <w:r w:rsidR="00BF2110" w:rsidRPr="007E59CF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noWrap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131C20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201</w:t>
            </w:r>
            <w:r w:rsidR="00BF2110" w:rsidRPr="00131C20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7E59CF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variação %</w:t>
            </w:r>
          </w:p>
        </w:tc>
      </w:tr>
      <w:tr w:rsidR="004B1E9D" w:rsidRPr="00131C20" w:rsidTr="00BF2110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ED9" w:rsidRPr="00131C20" w:rsidRDefault="00E77ED9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131C20">
              <w:rPr>
                <w:rFonts w:ascii="Garamond" w:eastAsia="Times New Roman" w:hAnsi="Garamond" w:cs="Arial"/>
                <w:color w:val="002060"/>
                <w:lang w:eastAsia="pt-BR"/>
              </w:rPr>
              <w:t>Prestação de serviços para a S</w:t>
            </w:r>
            <w:r w:rsidR="00BF2110" w:rsidRPr="00131C20">
              <w:rPr>
                <w:rFonts w:ascii="Garamond" w:eastAsia="Times New Roman" w:hAnsi="Garamond" w:cs="Arial"/>
                <w:color w:val="002060"/>
                <w:lang w:eastAsia="pt-BR"/>
              </w:rPr>
              <w:t>E-CAMEX</w:t>
            </w:r>
            <w:r w:rsidRPr="00131C20">
              <w:rPr>
                <w:rFonts w:ascii="Garamond" w:eastAsia="Times New Roman" w:hAnsi="Garamond" w:cs="Arial"/>
                <w:color w:val="002060"/>
                <w:lang w:eastAsia="pt-BR"/>
              </w:rPr>
              <w:t>/M</w:t>
            </w:r>
            <w:r w:rsidR="00BF2110" w:rsidRPr="00131C20">
              <w:rPr>
                <w:rFonts w:ascii="Garamond" w:eastAsia="Times New Roman" w:hAnsi="Garamond" w:cs="Arial"/>
                <w:color w:val="002060"/>
                <w:lang w:eastAsia="pt-BR"/>
              </w:rPr>
              <w:t>E</w:t>
            </w:r>
          </w:p>
        </w:tc>
        <w:tc>
          <w:tcPr>
            <w:tcW w:w="1304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ED9" w:rsidRPr="007E59CF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17,3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19,3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-10,29</w:t>
            </w:r>
          </w:p>
        </w:tc>
      </w:tr>
      <w:tr w:rsidR="004B1E9D" w:rsidRPr="00131C20" w:rsidTr="007E59CF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ED9" w:rsidRPr="00131C20" w:rsidRDefault="007E5578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Administração do FGIE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ED9" w:rsidRPr="007E59CF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2,6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3,9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-33,92</w:t>
            </w:r>
          </w:p>
        </w:tc>
      </w:tr>
      <w:tr w:rsidR="004B1E9D" w:rsidRPr="00131C20" w:rsidTr="007E59CF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ED9" w:rsidRPr="00131C20" w:rsidRDefault="007E5578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Gestão do FESR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ED9" w:rsidRPr="007E59CF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4,9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ED9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13,78</w:t>
            </w:r>
          </w:p>
          <w:p w:rsidR="007E5578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</w:tr>
      <w:tr w:rsidR="007E5578" w:rsidRPr="00131C20" w:rsidTr="007E59CF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578" w:rsidRDefault="007E5578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Análise de Crédito</w:t>
            </w:r>
          </w:p>
        </w:tc>
        <w:tc>
          <w:tcPr>
            <w:tcW w:w="1304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  <w:noWrap/>
            <w:vAlign w:val="bottom"/>
          </w:tcPr>
          <w:p w:rsidR="007E5578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0,013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578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  <w:noWrap/>
            <w:vAlign w:val="bottom"/>
          </w:tcPr>
          <w:p w:rsidR="007E5578" w:rsidRPr="00131C20" w:rsidDel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578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  <w:vAlign w:val="bottom"/>
          </w:tcPr>
          <w:p w:rsidR="007E5578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sz w:val="24"/>
                <w:szCs w:val="24"/>
                <w:lang w:eastAsia="pt-BR"/>
              </w:rPr>
            </w:pPr>
          </w:p>
        </w:tc>
      </w:tr>
      <w:tr w:rsidR="00E77ED9" w:rsidRPr="00131C20" w:rsidTr="007E59CF">
        <w:trPr>
          <w:trHeight w:hRule="exact"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ED9" w:rsidRPr="00131C20" w:rsidRDefault="00E77ED9" w:rsidP="00D91D70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131C20"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Receita de serviços</w:t>
            </w:r>
          </w:p>
        </w:tc>
        <w:tc>
          <w:tcPr>
            <w:tcW w:w="1304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noWrap/>
            <w:vAlign w:val="center"/>
          </w:tcPr>
          <w:p w:rsidR="00E77ED9" w:rsidRPr="007E59CF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25,6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noWrap/>
            <w:vAlign w:val="center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28,3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ED9" w:rsidRPr="00131C20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vAlign w:val="center"/>
          </w:tcPr>
          <w:p w:rsidR="00E77ED9" w:rsidRPr="00131C20" w:rsidRDefault="007E5578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color w:val="002060"/>
                <w:sz w:val="24"/>
                <w:szCs w:val="24"/>
                <w:lang w:eastAsia="pt-BR"/>
              </w:rPr>
              <w:t>-9,33</w:t>
            </w:r>
          </w:p>
        </w:tc>
      </w:tr>
    </w:tbl>
    <w:p w:rsidR="007E5578" w:rsidRDefault="007E5578" w:rsidP="00131C20">
      <w:pPr>
        <w:jc w:val="both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</w:pPr>
    </w:p>
    <w:p w:rsidR="00F30517" w:rsidRPr="007E59CF" w:rsidRDefault="007743BC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O resultado do exercício de 2019 foi de R$ </w:t>
      </w:r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10,6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milhões, antes da provisão para 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mposto de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R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enda e a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ontribuição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ocial. Esse resultado foi </w:t>
      </w:r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positivo por conta do resultado financeiro de R$ 17,2 milhões. As receitas com prestação de serviços tiveram redução de 9,3%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,</w:t>
      </w:r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se comparadas com o mesmo período de 2018 </w:t>
      </w:r>
      <w:r w:rsidR="007E5578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(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R$ </w:t>
      </w:r>
      <w:r w:rsidR="007E5578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25</w:t>
      </w:r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,6 milhões em 2019 e R$ 28,3 milhões em 2018), decorrente, principalmente, de redução do escopo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do </w:t>
      </w:r>
      <w:proofErr w:type="gramStart"/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contrato </w:t>
      </w:r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de</w:t>
      </w:r>
      <w:proofErr w:type="gramEnd"/>
      <w:r w:rsidR="0041142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55% da receita dos serviços</w:t>
      </w:r>
      <w:r w:rsidR="007E5578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prestados à SE-CAMEX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,</w:t>
      </w:r>
      <w:r w:rsidR="007E5578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 partir de outubro de 2019.</w:t>
      </w:r>
      <w:r w:rsidR="0041142A" w:rsidRPr="00131C20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</w:p>
    <w:p w:rsidR="00D703FE" w:rsidRPr="00BF2110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BF2110">
        <w:rPr>
          <w:rFonts w:ascii="Garamond" w:hAnsi="Garamond" w:cs="Arial"/>
          <w:b/>
          <w:color w:val="002060"/>
          <w:sz w:val="24"/>
          <w:szCs w:val="24"/>
        </w:rPr>
        <w:t>5. Comentários dos Administradores</w:t>
      </w:r>
    </w:p>
    <w:p w:rsidR="00470491" w:rsidRPr="007E59CF" w:rsidRDefault="0047049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Em agosto a ABGF foi qualificada no âmbito do Programa de Parcerias de Investimentos da Presidência da República (PPI) e inserida no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PND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. </w:t>
      </w:r>
    </w:p>
    <w:p w:rsidR="00470491" w:rsidRPr="007E59CF" w:rsidRDefault="0047049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Diante deste novo contexto, a ABGF direcionou ações e concentrou esforços organizacionais para atender as novas disposições regulamentares no sentido de viabilizar o processo de desestatização. </w:t>
      </w:r>
    </w:p>
    <w:p w:rsidR="00470491" w:rsidRPr="007E59CF" w:rsidRDefault="0047049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Dentre as principais ações podemos destacar: redução 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o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capital social, suspensão da participação da ABGF em novos projetos de garantias em infraestrutura, descontinuidade da prestação de garantia direta no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eguro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de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rédito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à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xportação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, encerramento da filial do Rio de Janeiro, ajustes no quadro de pessoal e redução de despesas administrativas para alcançar o equilíbrio econômico-financeiro devido 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à</w:t>
      </w:r>
      <w:r w:rsidR="00811BEA"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redução de escopo e valores no contrato de prestação de serviços com a SE-CAMEX</w:t>
      </w:r>
      <w:r w:rsidR="00811BEA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/ME</w:t>
      </w: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, entre outras. </w:t>
      </w:r>
    </w:p>
    <w:p w:rsidR="00470491" w:rsidRPr="007E59CF" w:rsidRDefault="0047049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Em dezembro realizamos a revisão do Planejamento Estratégico ciclo 2020-2024 com nossa identidade organizacional reformulada e como principal direcionador o processo de desestatização. </w:t>
      </w:r>
    </w:p>
    <w:p w:rsidR="007C5C6D" w:rsidRPr="007E59CF" w:rsidRDefault="0047049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7E59C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 missão da ABGF para 2020 é ser referência no processo de desestatização, cumprindo as orientações governamentais, sustentada nos valores de integridade e eficiência.</w:t>
      </w:r>
    </w:p>
    <w:p w:rsidR="00DB1F53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B1E9D">
        <w:rPr>
          <w:rFonts w:ascii="Garamond" w:hAnsi="Garamond" w:cs="Arial"/>
          <w:b/>
          <w:color w:val="002060"/>
          <w:sz w:val="24"/>
          <w:szCs w:val="24"/>
        </w:rPr>
        <w:t>6. Estruturas de Controles Internos e Gerenciamento de Riscos</w:t>
      </w:r>
    </w:p>
    <w:p w:rsidR="00C660CB" w:rsidRPr="004B1E9D" w:rsidRDefault="00C660CB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estrutura de governança está organizada em dois pilares de sustentação, sendo um orientado para gestão corporativa e o outro para fiscalização e controle, sendo composta pelos seguintes entes estatutários: Assembleia Geral de Acionistas, Conselho de Administração, Conselho Fiscal, Diretoria-Executiva, Comitê de Auditoria, Auditoria Interna e Auditoria Independente. </w:t>
      </w:r>
    </w:p>
    <w:p w:rsidR="00C660CB" w:rsidRPr="004B1E9D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A Assembleia Geral de Acionista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é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Ó</w:t>
      </w:r>
      <w:r w:rsidR="00811BEA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rgão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máximo da ABGF, com poderes para deliberar sobre todos os negócios relativos ao seu objeto. A União é a única acionista e é representada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lastRenderedPageBreak/>
        <w:t xml:space="preserve">nas assembleias pela Procuradoria-Geral da Fazenda Nacional (PGFN), que atua seguindo as orientações do Governo Federal. </w:t>
      </w:r>
    </w:p>
    <w:p w:rsidR="00C660CB" w:rsidRPr="004B1E9D" w:rsidRDefault="00C660CB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Conselho de Administração é o órgão colegiado responsável pela orientação geral de negócios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e</w:t>
      </w:r>
      <w:r w:rsidR="00811BEA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decid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e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sobre os rumos estratégicos da ABGF. Além de definir as diretrizes estratégicas, é o guardião do sistema de governança da </w:t>
      </w:r>
      <w:r w:rsidR="000E4A55">
        <w:rPr>
          <w:rFonts w:ascii="Garamond" w:eastAsia="Klavika-Bold" w:hAnsi="Garamond" w:cs="Arial"/>
          <w:bCs/>
          <w:color w:val="002060"/>
          <w:sz w:val="24"/>
          <w:szCs w:val="24"/>
        </w:rPr>
        <w:t>Companhia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. </w:t>
      </w:r>
    </w:p>
    <w:p w:rsidR="00C660CB" w:rsidRPr="004B1E9D" w:rsidRDefault="00C660CB" w:rsidP="003048E2">
      <w:pPr>
        <w:widowControl w:val="0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Diretoria-Executiva é o órgão responsável pela administração da ABGF, cabendo-lhe cumprir e fazer cumprir o Estatuto Social, as deliberações da Assembleia Geral de Acionistas, as decisões e a orientação geral dos negócios emanadas pelo Conselho de Administração, de forma a garantir o funcionamento da ABGF. A Diretoria Executiva é composta por </w:t>
      </w:r>
      <w:r w:rsidR="000E4A55">
        <w:rPr>
          <w:rFonts w:ascii="Garamond" w:eastAsia="Klavika-Bold" w:hAnsi="Garamond" w:cs="Arial"/>
          <w:bCs/>
          <w:color w:val="002060"/>
          <w:sz w:val="24"/>
          <w:szCs w:val="24"/>
        </w:rPr>
        <w:t>três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membros, sendo o Diretor-Presidente, </w:t>
      </w:r>
      <w:r w:rsidR="00F30517">
        <w:rPr>
          <w:rFonts w:ascii="Garamond" w:eastAsia="Klavika-Bold" w:hAnsi="Garamond" w:cs="Arial"/>
          <w:bCs/>
          <w:color w:val="002060"/>
          <w:sz w:val="24"/>
          <w:szCs w:val="24"/>
        </w:rPr>
        <w:t>a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Diretor</w:t>
      </w:r>
      <w:r w:rsidR="00F30517">
        <w:rPr>
          <w:rFonts w:ascii="Garamond" w:eastAsia="Klavika-Bold" w:hAnsi="Garamond" w:cs="Arial"/>
          <w:bCs/>
          <w:color w:val="002060"/>
          <w:sz w:val="24"/>
          <w:szCs w:val="24"/>
        </w:rPr>
        <w:t>a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de </w:t>
      </w:r>
      <w:r w:rsidR="00F30517">
        <w:rPr>
          <w:rFonts w:ascii="Garamond" w:eastAsia="Klavika-Bold" w:hAnsi="Garamond" w:cs="Arial"/>
          <w:bCs/>
          <w:color w:val="002060"/>
          <w:sz w:val="24"/>
          <w:szCs w:val="24"/>
        </w:rPr>
        <w:t>Garantias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, e o Diretor Administrativo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Financeiro. As decisões da Diretoria Executiva buscam </w:t>
      </w:r>
      <w:r w:rsidR="007C5C6D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viabilizar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as diretrizes estratégicas estabelecidas pelo Conselho de Administração com o objetivo de gerar valor e garantir a sustentabilidade da ABGF.</w:t>
      </w:r>
    </w:p>
    <w:p w:rsidR="00C660CB" w:rsidRPr="004B1E9D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Conselho Fiscal é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o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Ó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rgão permanente de fiscalização da gestão orçamentária, financeira e patrimonial da Empresa. Vinculado diretamente à Assembleia Geral de Acionistas, o Conselho Fiscal tem um papel relevante na fiscalização independente dos atos </w:t>
      </w:r>
      <w:r w:rsidR="00811BEA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d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e</w:t>
      </w:r>
      <w:r w:rsidR="00811BEA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gestão. </w:t>
      </w:r>
    </w:p>
    <w:p w:rsidR="00C660CB" w:rsidRPr="004B1E9D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Comitê de Auditoria foi instalado na ABGF em abril de 2018. É um órgão de assessoramento ao Conselho de Administração no que se refere ao exercício de suas funções de auditoria e de fiscalização sobre a qualidade das demonstrações contábeis e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efetividade dos sistemas de controle</w:t>
      </w:r>
      <w:r w:rsidR="00E93154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interno</w:t>
      </w:r>
      <w:r w:rsidR="00E93154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das auditorias interna e independente. </w:t>
      </w:r>
    </w:p>
    <w:p w:rsidR="00C660CB" w:rsidRPr="004B1E9D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Auditoria Interna está vinculada administrativamente ao Conselho de Administração e funcionalmente ao Comitê de Auditoria. Responsável por avaliar a adequabilidade do controle interno e do gerenciamento de riscos. É responsável por identificar e apontar informações acerca do estado dos controles internos, do gerenciamento de riscos e da governança corporativa. </w:t>
      </w:r>
    </w:p>
    <w:p w:rsidR="00C660CB" w:rsidRPr="004B1E9D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Auditoria Independente é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representada por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uma empresa contratada para examinar e opinar sobre as demonstrações contábeis e financeiras da ABGF, sendo o Conselho de Administração responsável pela escolha e destituição dos auditores independentes.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A</w:t>
      </w:r>
      <w:r w:rsidR="00811BEA"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>Auditor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ia</w:t>
      </w:r>
      <w:r w:rsidRPr="004B1E9D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Independente exerce papel fundamental para assegurar a integridade das demonstrações contábeis e emitir opinião sobre todos os seus aspectos relevantes, inclusive quanto à posição patrimonial e financeira da Companhia.</w:t>
      </w:r>
    </w:p>
    <w:p w:rsidR="00811BEA" w:rsidRPr="004B1E9D" w:rsidRDefault="00811BEA" w:rsidP="00811BEA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A Gerência Executiva de Governança é a área responsável por promover o funcionamento institucional da ABGF. </w:t>
      </w:r>
    </w:p>
    <w:p w:rsidR="00243DD0" w:rsidRPr="004B1E9D" w:rsidRDefault="00E158D3" w:rsidP="00E158D3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A Gerência</w:t>
      </w:r>
      <w:r w:rsidR="00F30517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de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Gestão de </w:t>
      </w:r>
      <w:r w:rsidR="0026202C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Riscos </w:t>
      </w:r>
      <w:r w:rsidR="00F30517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 </w:t>
      </w:r>
      <w:r w:rsidR="00E93154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Conformidade é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 área responsável pelo desenvolvimento dos controles internos da Empresa e pela identificação, gerenciamento e monitoramento de seus riscos corporativos. </w:t>
      </w:r>
    </w:p>
    <w:p w:rsidR="00D703FE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59067E">
        <w:rPr>
          <w:rFonts w:ascii="Garamond" w:hAnsi="Garamond" w:cs="Arial"/>
          <w:b/>
          <w:color w:val="002060"/>
          <w:sz w:val="24"/>
          <w:szCs w:val="24"/>
        </w:rPr>
        <w:t>7. Fatores de Risco</w:t>
      </w:r>
    </w:p>
    <w:p w:rsidR="00243DD0" w:rsidRDefault="0059067E" w:rsidP="0059067E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O modelo de gestão de riscos da ABGF está fundamentado em metodologia própria que tomou por base as meto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dologias de gestão de riscos do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Com</w:t>
      </w:r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softHyphen/>
        <w:t>mittee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of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Sponsoring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Organizations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of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lastRenderedPageBreak/>
        <w:t>the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Treadway</w:t>
      </w:r>
      <w:proofErr w:type="spellEnd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9239B4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Commission</w:t>
      </w:r>
      <w:proofErr w:type="spellEnd"/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(COSO) e da ISO 31000 da Associação Brasileira de Normas Técnicas (ABNT). </w:t>
      </w:r>
    </w:p>
    <w:p w:rsidR="0059067E" w:rsidRPr="007E59CF" w:rsidRDefault="0059067E" w:rsidP="007E59CF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A estrutura de gerenciamento de ris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cos da ABGF é composta pelos se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guintes elementos: ambiente interno, fixação de objetivos, identificação de eventos, avaliação de riscos, resposta a riscos, atividades de conformidade e controles internos, informação, co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municação, e, por fim, monitoramen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to. </w:t>
      </w:r>
    </w:p>
    <w:p w:rsidR="0059067E" w:rsidRDefault="0059067E" w:rsidP="0059067E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Para tanto, foi definido um glossá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rio de riscos como apoio de referên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cia nos levantamentos dos riscos da ABGF, explicitando os pilares de riscos que a empresa está exposta. Esses pilares reúnem os </w:t>
      </w:r>
      <w:r w:rsidR="00811BEA">
        <w:rPr>
          <w:rFonts w:ascii="Garamond" w:eastAsia="Klavika-Bold" w:hAnsi="Garamond" w:cs="Arial"/>
          <w:bCs/>
          <w:color w:val="002060"/>
          <w:sz w:val="24"/>
          <w:szCs w:val="24"/>
        </w:rPr>
        <w:t>oito</w:t>
      </w:r>
      <w:r w:rsidR="00811BEA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principais agrupamentos de riscos: estratégico, operacional, Imagem/Reputação, Le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gal, Subscrição, Mercado, Crédito e </w:t>
      </w:r>
      <w:r w:rsidR="002710DB" w:rsidRPr="0059067E">
        <w:rPr>
          <w:rFonts w:ascii="Garamond" w:eastAsia="Klavika-Bold" w:hAnsi="Garamond" w:cs="Arial"/>
          <w:bCs/>
          <w:color w:val="002060"/>
          <w:sz w:val="24"/>
          <w:szCs w:val="24"/>
        </w:rPr>
        <w:t>Liquidez.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Esses </w:t>
      </w:r>
      <w:proofErr w:type="gramStart"/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>pilares  e</w:t>
      </w:r>
      <w:proofErr w:type="gramEnd"/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as </w:t>
      </w:r>
      <w:r w:rsidR="00BA70A7">
        <w:rPr>
          <w:rFonts w:ascii="Garamond" w:eastAsia="Klavika-Bold" w:hAnsi="Garamond" w:cs="Arial"/>
          <w:bCs/>
          <w:color w:val="002060"/>
          <w:sz w:val="24"/>
          <w:szCs w:val="24"/>
        </w:rPr>
        <w:t>respectivas</w:t>
      </w:r>
      <w:r w:rsidR="00BA70A7"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ações de mitigação </w:t>
      </w:r>
      <w:r w:rsidR="00BA70A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estão </w:t>
      </w:r>
      <w:r w:rsidRPr="007E59CF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detalhadas </w:t>
      </w:r>
      <w:r w:rsidR="00982C65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no quadro </w:t>
      </w:r>
      <w:r w:rsidR="00BA70A7">
        <w:rPr>
          <w:rFonts w:ascii="Garamond" w:eastAsia="Klavika-Bold" w:hAnsi="Garamond" w:cs="Arial"/>
          <w:bCs/>
          <w:color w:val="002060"/>
          <w:sz w:val="24"/>
          <w:szCs w:val="24"/>
        </w:rPr>
        <w:t>a seguir</w:t>
      </w:r>
      <w:r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: </w:t>
      </w:r>
      <w:r w:rsidR="002710DB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                  </w:t>
      </w:r>
    </w:p>
    <w:tbl>
      <w:tblPr>
        <w:tblStyle w:val="Tabelacomgrade"/>
        <w:tblW w:w="5000" w:type="pct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523"/>
        <w:gridCol w:w="3180"/>
        <w:gridCol w:w="4755"/>
      </w:tblGrid>
      <w:tr w:rsidR="007011B4" w:rsidRPr="00304100" w:rsidTr="009239B4">
        <w:trPr>
          <w:trHeight w:val="451"/>
        </w:trPr>
        <w:tc>
          <w:tcPr>
            <w:tcW w:w="309" w:type="pct"/>
            <w:shd w:val="clear" w:color="auto" w:fill="002060"/>
            <w:vAlign w:val="center"/>
          </w:tcPr>
          <w:p w:rsidR="007011B4" w:rsidRPr="00D00447" w:rsidRDefault="007011B4" w:rsidP="00EA1F93">
            <w:pPr>
              <w:spacing w:line="259" w:lineRule="auto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002060"/>
            <w:vAlign w:val="center"/>
          </w:tcPr>
          <w:p w:rsidR="007011B4" w:rsidRPr="00D00447" w:rsidRDefault="007011B4" w:rsidP="00EA1F93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Principais Riscos</w:t>
            </w:r>
          </w:p>
        </w:tc>
        <w:tc>
          <w:tcPr>
            <w:tcW w:w="2811" w:type="pct"/>
            <w:shd w:val="clear" w:color="auto" w:fill="002060"/>
            <w:vAlign w:val="center"/>
          </w:tcPr>
          <w:p w:rsidR="007011B4" w:rsidRPr="00D00447" w:rsidRDefault="007011B4" w:rsidP="00EA1F93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Mitigadores</w:t>
            </w:r>
          </w:p>
        </w:tc>
      </w:tr>
      <w:tr w:rsidR="007011B4" w:rsidRPr="00304100" w:rsidTr="009239B4">
        <w:trPr>
          <w:cantSplit/>
          <w:trHeight w:val="2085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7011B4" w:rsidRPr="00D00447" w:rsidRDefault="007011B4" w:rsidP="00EA1F93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Estratégico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7011B4" w:rsidRPr="009239B4" w:rsidRDefault="007011B4" w:rsidP="00EA1F93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Perdas resultante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s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 de incerteza que afetam a realização das diretrizes estratégicas da Empresa, ou seja, do insucesso das estratégias adotadas, levando-se em conta a dinâmica dos negócios (concorrência, clientes, fornecedores e investimentos) e as alterações políticas e econômicas no País e fora dele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7011B4" w:rsidRPr="009239B4" w:rsidRDefault="007011B4" w:rsidP="007011B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Disseminar os objetivos estratégicos definidos no Planejamento Estratégico a todos os níveis da Empresa, bem como sua missão, visão e valores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.</w:t>
            </w:r>
          </w:p>
          <w:p w:rsidR="007011B4" w:rsidRPr="009239B4" w:rsidRDefault="007011B4" w:rsidP="007011B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Acompanhar e monitorar os indicadores de desempenho, a fim de cumprir os objetivos institucionais e metas estabelecidas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.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  <w:p w:rsidR="007011B4" w:rsidRPr="009239B4" w:rsidRDefault="007011B4" w:rsidP="007011B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Fortalecer a cultura ética.</w:t>
            </w:r>
          </w:p>
        </w:tc>
      </w:tr>
      <w:tr w:rsidR="005B1954" w:rsidRPr="00304100" w:rsidTr="009239B4">
        <w:trPr>
          <w:cantSplit/>
          <w:trHeight w:val="1085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5B1954" w:rsidRPr="00D00447" w:rsidRDefault="005B1954" w:rsidP="005B1954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Legal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Perdas decorrente de atos de órgãos externos de supervisão e controle, bem como 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de 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decisão desfavorável em processos judiciais ou administrativos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Monitorar processos judiciais e administrativos de forma a identificar as probabilidades de perda, a fim de permitir a atuação tempestiva da Empresa.</w:t>
            </w:r>
          </w:p>
        </w:tc>
      </w:tr>
      <w:tr w:rsidR="005B1954" w:rsidRPr="00304100" w:rsidTr="009239B4">
        <w:trPr>
          <w:cantSplit/>
          <w:trHeight w:val="1273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5B1954" w:rsidRPr="00D00447" w:rsidRDefault="005B1954" w:rsidP="005B1954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Imagem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Comprometimento da confiança dos clientes, parceiros, fornecedores e sociedade em relação à capacidade da ABGF em cumprir sua missão institucional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Avaliar e tratar as situações que possam afetar adversamente a sustentabilidade do negócio, com base na Política de Divulgação de Informações, de Relacionamento com a Imprensa e 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de 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Porta-Vozes.</w:t>
            </w:r>
          </w:p>
        </w:tc>
      </w:tr>
      <w:tr w:rsidR="005B1954" w:rsidRPr="00304100" w:rsidTr="009239B4">
        <w:trPr>
          <w:cantSplit/>
          <w:trHeight w:val="203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5B1954" w:rsidRPr="00D00447" w:rsidRDefault="005B1954" w:rsidP="005B1954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Operacional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Comprometimento das atividades da ABGF, normalmente associado a falhas, deficiência ou inadequação de processos internos, pessoas, infraestrutura e sistemas, bem como eventos relacionados a corrupção, fraudes, irregularidades e/ou desvios éticos e de conduta que podem comprometer os valores e padrões preconizados pela Empresa e a realização de seus objetivos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Identificar, avaliar, tratar e monitorar periodicamente os riscos operacionais da Empresa utilizando metodologia própria, definida de acordo com as melhores práticas em gestão de riscos e controles internos.</w:t>
            </w:r>
          </w:p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Observar, na identificação e análise do risco operacional, as perspectivas de exposição a riscos relacionados à corrupção, lavagem de dinheiro, segurança da informação, conformidade, fraude e continuidade de negócios.</w:t>
            </w:r>
          </w:p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Observar o disposto nas Políticas Institucionais</w:t>
            </w:r>
          </w:p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Avaliar os riscos operacionais a fim de assegurar a confiabilidade, a conformidade, a integridade, o exercício de alçadas decisórias, a disponibilidade das informações e dos processos da ABGF.</w:t>
            </w:r>
          </w:p>
          <w:p w:rsidR="005B1954" w:rsidRPr="009239B4" w:rsidRDefault="005B1954" w:rsidP="005B1954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Estabelecer controles proporcionais ao risco, observada a relação custo-benefício e destinados a </w:t>
            </w:r>
            <w:r w:rsidR="00BA70A7"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</w:t>
            </w:r>
            <w:r w:rsidR="00BA70A7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g</w:t>
            </w:r>
            <w:r w:rsidR="00BA70A7"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regar 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valor à ABGF.</w:t>
            </w:r>
          </w:p>
        </w:tc>
      </w:tr>
      <w:tr w:rsidR="009F6F06" w:rsidRPr="00304100" w:rsidTr="009F6F06">
        <w:trPr>
          <w:cantSplit/>
          <w:trHeight w:val="532"/>
        </w:trPr>
        <w:tc>
          <w:tcPr>
            <w:tcW w:w="309" w:type="pct"/>
            <w:shd w:val="clear" w:color="auto" w:fill="002060"/>
            <w:vAlign w:val="center"/>
          </w:tcPr>
          <w:p w:rsidR="009F6F06" w:rsidRPr="00D00447" w:rsidRDefault="009F6F06" w:rsidP="009F6F06">
            <w:pPr>
              <w:spacing w:line="259" w:lineRule="auto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002060"/>
            <w:vAlign w:val="center"/>
          </w:tcPr>
          <w:p w:rsidR="009F6F06" w:rsidRPr="00D00447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Principais Riscos</w:t>
            </w:r>
          </w:p>
        </w:tc>
        <w:tc>
          <w:tcPr>
            <w:tcW w:w="2811" w:type="pct"/>
            <w:shd w:val="clear" w:color="auto" w:fill="002060"/>
            <w:vAlign w:val="center"/>
          </w:tcPr>
          <w:p w:rsidR="009F6F06" w:rsidRPr="00D00447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0447"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Mitigadores</w:t>
            </w:r>
          </w:p>
        </w:tc>
      </w:tr>
      <w:tr w:rsidR="009F6F06" w:rsidRPr="00304100" w:rsidTr="009239B4">
        <w:trPr>
          <w:cantSplit/>
          <w:trHeight w:val="2374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9F6F06" w:rsidRPr="00D00447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Liquidez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Perda resultante do descasamento entre a entrada de recursos (recebimento de prêmios, recuperações e prestações de serviço) para atender às exigências de caixa que impactem o cumprimento de obrigações/compromissos programados, levando em consideração as diferentes moedas e prazos de liquidação de seus direitos e obrigações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Observar o disposto na Política de Gestão de Caixa </w:t>
            </w:r>
            <w:r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e Investimentos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.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Monitorar o volume de capital disponível para que o mesmo seja suficiente para saldar seus compromissos, sejam para despesas operacionais ou para a cobertura das reservas relacionadas aos riscos do negócio.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Manter os níveis de ativos com alto grau de conversibilidade em espécie compatível com a necessidade de cobertura de passivos e outras destinações previstas para o curto prazo.</w:t>
            </w:r>
          </w:p>
        </w:tc>
      </w:tr>
      <w:tr w:rsidR="009F6F06" w:rsidRPr="00304100" w:rsidTr="009239B4">
        <w:trPr>
          <w:cantSplit/>
          <w:trHeight w:val="1104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9F6F06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Crédito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autoSpaceDE w:val="0"/>
              <w:autoSpaceDN w:val="0"/>
              <w:adjustRightInd w:val="0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Perdas decorrentes de descumprimento, pelo tomador ou contrapartes, das suas obrigações financeiras nos termos pactuados.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Adotar metodologias que permitam o monitoramento da classificação de risco de contrapartes, limites de exposição e de concentração, bem como a definição de critérios qualitativos e quantitativos a serem observados na concessão das garantias.</w:t>
            </w:r>
          </w:p>
        </w:tc>
      </w:tr>
      <w:tr w:rsidR="009F6F06" w:rsidRPr="00304100" w:rsidTr="009239B4">
        <w:trPr>
          <w:cantSplit/>
          <w:trHeight w:val="126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9F6F06" w:rsidRPr="00D00447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Mercado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Perda resultante de flutuações de valores de mercado de posições detidas pela Empresa, bem como de perdas referentes </w:t>
            </w:r>
            <w:proofErr w:type="gramStart"/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à</w:t>
            </w:r>
            <w:proofErr w:type="gramEnd"/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 mudanças nas condições políticas, econômicas ou financeiras do Brasil ou de outros países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Observar o disposto na Política de Gestão de Caixa e Investimentos.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Monitorar os fatores de risco que influenciam diretamente no retorno dos investimentos da Empresa, incluindo as posições de mercado e as condições econômicas e financeiras do Brasil e dos demais países.</w:t>
            </w:r>
          </w:p>
        </w:tc>
      </w:tr>
      <w:tr w:rsidR="009F6F06" w:rsidRPr="00304100" w:rsidTr="009239B4">
        <w:trPr>
          <w:cantSplit/>
          <w:trHeight w:val="203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:rsidR="009F6F06" w:rsidRPr="00D00447" w:rsidRDefault="009F6F06" w:rsidP="009F6F06">
            <w:pPr>
              <w:spacing w:line="259" w:lineRule="auto"/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Klavika-Bold" w:hAnsi="Garamond" w:cstheme="minorHAnsi"/>
                <w:b/>
                <w:bCs/>
                <w:color w:val="FFFFFF" w:themeColor="background1"/>
                <w:sz w:val="24"/>
                <w:szCs w:val="24"/>
              </w:rPr>
              <w:t>Subscrição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spacing w:line="259" w:lineRule="auto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Perdas que contrariarem as expectativas da ABGF quando operando nas falhas do mercado segurador, associados, direta ou indiretamente, às bases técnicas utilizadas para cálculos de prêmios, quotas e provisões técnicas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Observar o disposto na Política de Subscrição d</w:t>
            </w:r>
            <w:r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e Risco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;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Adotar metodologias baseadas nas boas práticas de mercado que garantam a precificação adequada ao risco assumido.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Garantir solvência da carteira utilizando-se provisões técnicas periodicamente testadas e avaliadas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Assegurar que as análises de risco observem a exposição ao risco e as características do produto.</w:t>
            </w:r>
          </w:p>
          <w:p w:rsidR="009F6F06" w:rsidRPr="009239B4" w:rsidRDefault="009F6F06" w:rsidP="009F6F06">
            <w:pPr>
              <w:numPr>
                <w:ilvl w:val="0"/>
                <w:numId w:val="4"/>
              </w:numPr>
              <w:spacing w:line="259" w:lineRule="auto"/>
              <w:ind w:left="313" w:hanging="357"/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D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efini</w:t>
            </w:r>
            <w:r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r </w:t>
            </w:r>
            <w:proofErr w:type="gramStart"/>
            <w:r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>a</w:t>
            </w:r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  Declaração</w:t>
            </w:r>
            <w:proofErr w:type="gramEnd"/>
            <w:r w:rsidRPr="009239B4">
              <w:rPr>
                <w:rFonts w:ascii="Garamond" w:eastAsia="Klavika-Bold" w:hAnsi="Garamond" w:cstheme="minorHAnsi"/>
                <w:bCs/>
                <w:color w:val="002060"/>
                <w:sz w:val="20"/>
                <w:szCs w:val="20"/>
              </w:rPr>
              <w:t xml:space="preserve"> de Apetite ao Risco.</w:t>
            </w:r>
          </w:p>
        </w:tc>
      </w:tr>
    </w:tbl>
    <w:p w:rsidR="009239B4" w:rsidRDefault="009239B4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p w:rsidR="00D703FE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B1E9D">
        <w:rPr>
          <w:rFonts w:ascii="Garamond" w:hAnsi="Garamond" w:cs="Arial"/>
          <w:b/>
          <w:color w:val="002060"/>
          <w:sz w:val="24"/>
          <w:szCs w:val="24"/>
        </w:rPr>
        <w:t>8. Remuneração</w:t>
      </w:r>
    </w:p>
    <w:p w:rsidR="003706EE" w:rsidRPr="004B1E9D" w:rsidRDefault="004425AF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Conforme previsto no </w:t>
      </w:r>
      <w:r w:rsidR="00BA70A7">
        <w:rPr>
          <w:rFonts w:ascii="Garamond" w:hAnsi="Garamond" w:cs="Arial"/>
          <w:color w:val="002060"/>
          <w:sz w:val="24"/>
          <w:szCs w:val="24"/>
        </w:rPr>
        <w:t xml:space="preserve">art. 14 do </w:t>
      </w:r>
      <w:r w:rsidRPr="004B1E9D">
        <w:rPr>
          <w:rFonts w:ascii="Garamond" w:hAnsi="Garamond" w:cs="Arial"/>
          <w:color w:val="002060"/>
          <w:sz w:val="24"/>
          <w:szCs w:val="24"/>
        </w:rPr>
        <w:t>Estatuto Social da ABGF, a remuneração e demais benefícios dos integrantes dos órgãos de Administração é fixada anualmente pela Assembleia Geral Ordinária, observadas as prescrições legais. Os valores referentes à remuneração da Diretoria Executiva são definidos pela Secretaria de Coordenação e Governança das Empresas Estatais (SEST) do Ministério</w:t>
      </w:r>
      <w:r w:rsidR="00456746">
        <w:rPr>
          <w:rFonts w:ascii="Garamond" w:hAnsi="Garamond" w:cs="Arial"/>
          <w:color w:val="002060"/>
          <w:sz w:val="24"/>
          <w:szCs w:val="24"/>
        </w:rPr>
        <w:t xml:space="preserve"> da Economia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 (</w:t>
      </w:r>
      <w:r w:rsidR="00456746" w:rsidRPr="004B1E9D">
        <w:rPr>
          <w:rFonts w:ascii="Garamond" w:hAnsi="Garamond" w:cs="Arial"/>
          <w:color w:val="002060"/>
          <w:sz w:val="24"/>
          <w:szCs w:val="24"/>
        </w:rPr>
        <w:t>M</w:t>
      </w:r>
      <w:r w:rsidR="00456746">
        <w:rPr>
          <w:rFonts w:ascii="Garamond" w:hAnsi="Garamond" w:cs="Arial"/>
          <w:color w:val="002060"/>
          <w:sz w:val="24"/>
          <w:szCs w:val="24"/>
        </w:rPr>
        <w:t>E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) e acatados pela empresa. A remuneração total engloba remuneração fixa e benefícios. </w:t>
      </w:r>
    </w:p>
    <w:p w:rsidR="008B3BF8" w:rsidRPr="004B1E9D" w:rsidRDefault="004425AF" w:rsidP="003048E2">
      <w:pPr>
        <w:tabs>
          <w:tab w:val="left" w:pos="1418"/>
        </w:tabs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4B1E9D">
        <w:rPr>
          <w:rFonts w:ascii="Garamond" w:hAnsi="Garamond" w:cs="Arial"/>
          <w:color w:val="002060"/>
          <w:sz w:val="24"/>
          <w:szCs w:val="24"/>
        </w:rPr>
        <w:t xml:space="preserve">A SEST fixou, ainda, a remuneração mensal dos conselheiros em 10% </w:t>
      </w:r>
      <w:r w:rsidR="00BA70A7">
        <w:rPr>
          <w:rFonts w:ascii="Garamond" w:hAnsi="Garamond" w:cs="Arial"/>
          <w:color w:val="002060"/>
          <w:sz w:val="24"/>
          <w:szCs w:val="24"/>
        </w:rPr>
        <w:t xml:space="preserve">(dez por cento) </w:t>
      </w:r>
      <w:r w:rsidRPr="004B1E9D">
        <w:rPr>
          <w:rFonts w:ascii="Garamond" w:hAnsi="Garamond" w:cs="Arial"/>
          <w:color w:val="002060"/>
          <w:sz w:val="24"/>
          <w:szCs w:val="24"/>
        </w:rPr>
        <w:t xml:space="preserve">da remuneração anual média atribuída a cada diretor, incluindo 1/12 </w:t>
      </w:r>
      <w:r w:rsidR="00BA70A7">
        <w:rPr>
          <w:rFonts w:ascii="Garamond" w:hAnsi="Garamond" w:cs="Arial"/>
          <w:color w:val="002060"/>
          <w:sz w:val="24"/>
          <w:szCs w:val="24"/>
        </w:rPr>
        <w:t xml:space="preserve">(hum doze avos) </w:t>
      </w:r>
      <w:r w:rsidRPr="004B1E9D">
        <w:rPr>
          <w:rFonts w:ascii="Garamond" w:hAnsi="Garamond" w:cs="Arial"/>
          <w:color w:val="002060"/>
          <w:sz w:val="24"/>
          <w:szCs w:val="24"/>
        </w:rPr>
        <w:t>de gratificação natalina, dividida pelo fator 12 (doze), garantindo pagamentos iguais em todos os meses do exercício</w:t>
      </w:r>
    </w:p>
    <w:sectPr w:rsidR="008B3BF8" w:rsidRPr="004B1E9D" w:rsidSect="008C4EC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21" w:rsidRDefault="005B7D21" w:rsidP="003A5CC8">
      <w:pPr>
        <w:spacing w:after="0" w:line="240" w:lineRule="auto"/>
      </w:pPr>
      <w:r>
        <w:separator/>
      </w:r>
    </w:p>
  </w:endnote>
  <w:endnote w:type="continuationSeparator" w:id="0">
    <w:p w:rsidR="005B7D21" w:rsidRDefault="005B7D21" w:rsidP="003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15880"/>
      <w:docPartObj>
        <w:docPartGallery w:val="Page Numbers (Bottom of Page)"/>
        <w:docPartUnique/>
      </w:docPartObj>
    </w:sdtPr>
    <w:sdtEndPr/>
    <w:sdtContent>
      <w:p w:rsidR="008B60E3" w:rsidRDefault="00133F7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8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0E3" w:rsidRDefault="008B6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21" w:rsidRDefault="005B7D21" w:rsidP="003A5CC8">
      <w:pPr>
        <w:spacing w:after="0" w:line="240" w:lineRule="auto"/>
      </w:pPr>
      <w:r>
        <w:separator/>
      </w:r>
    </w:p>
  </w:footnote>
  <w:footnote w:type="continuationSeparator" w:id="0">
    <w:p w:rsidR="005B7D21" w:rsidRDefault="005B7D21" w:rsidP="003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C8" w:rsidRDefault="003A5CC8">
    <w:pPr>
      <w:pStyle w:val="Cabealho"/>
    </w:pPr>
  </w:p>
  <w:p w:rsidR="003A5CC8" w:rsidRDefault="003A5C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C5B"/>
    <w:multiLevelType w:val="hybridMultilevel"/>
    <w:tmpl w:val="249E4388"/>
    <w:lvl w:ilvl="0" w:tplc="98B60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B0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727C31"/>
    <w:multiLevelType w:val="hybridMultilevel"/>
    <w:tmpl w:val="968AC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24B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2A3C14"/>
    <w:multiLevelType w:val="hybridMultilevel"/>
    <w:tmpl w:val="EA92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C80"/>
    <w:multiLevelType w:val="hybridMultilevel"/>
    <w:tmpl w:val="ECF87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2C"/>
    <w:rsid w:val="000231F1"/>
    <w:rsid w:val="000341A2"/>
    <w:rsid w:val="00035591"/>
    <w:rsid w:val="00046E95"/>
    <w:rsid w:val="000545DD"/>
    <w:rsid w:val="00075016"/>
    <w:rsid w:val="00076BEF"/>
    <w:rsid w:val="000868DA"/>
    <w:rsid w:val="000917C7"/>
    <w:rsid w:val="000B4976"/>
    <w:rsid w:val="000B4A36"/>
    <w:rsid w:val="000C2621"/>
    <w:rsid w:val="000E4A55"/>
    <w:rsid w:val="000F1526"/>
    <w:rsid w:val="00106330"/>
    <w:rsid w:val="00106F2F"/>
    <w:rsid w:val="00116BA1"/>
    <w:rsid w:val="00124422"/>
    <w:rsid w:val="00131C20"/>
    <w:rsid w:val="00133F7E"/>
    <w:rsid w:val="00155D13"/>
    <w:rsid w:val="00160388"/>
    <w:rsid w:val="00187FC6"/>
    <w:rsid w:val="00197F2B"/>
    <w:rsid w:val="001A450A"/>
    <w:rsid w:val="001D59AC"/>
    <w:rsid w:val="001D6C7A"/>
    <w:rsid w:val="001F7B11"/>
    <w:rsid w:val="0020675F"/>
    <w:rsid w:val="002118B7"/>
    <w:rsid w:val="0021314D"/>
    <w:rsid w:val="00226BAC"/>
    <w:rsid w:val="00232307"/>
    <w:rsid w:val="00242E7C"/>
    <w:rsid w:val="00243DD0"/>
    <w:rsid w:val="00243E42"/>
    <w:rsid w:val="002505E4"/>
    <w:rsid w:val="00257978"/>
    <w:rsid w:val="00260C86"/>
    <w:rsid w:val="0026202C"/>
    <w:rsid w:val="002710DB"/>
    <w:rsid w:val="00287659"/>
    <w:rsid w:val="00290157"/>
    <w:rsid w:val="00293FF1"/>
    <w:rsid w:val="00294842"/>
    <w:rsid w:val="002D32B7"/>
    <w:rsid w:val="002D6B9A"/>
    <w:rsid w:val="002F1A91"/>
    <w:rsid w:val="003048E2"/>
    <w:rsid w:val="00311950"/>
    <w:rsid w:val="00313064"/>
    <w:rsid w:val="00324691"/>
    <w:rsid w:val="003322BC"/>
    <w:rsid w:val="003352AB"/>
    <w:rsid w:val="003507F1"/>
    <w:rsid w:val="00354E6E"/>
    <w:rsid w:val="003706EE"/>
    <w:rsid w:val="00373EBB"/>
    <w:rsid w:val="00382439"/>
    <w:rsid w:val="00393910"/>
    <w:rsid w:val="003A5CC8"/>
    <w:rsid w:val="003C3DC3"/>
    <w:rsid w:val="003C6229"/>
    <w:rsid w:val="003C7024"/>
    <w:rsid w:val="003D1FD8"/>
    <w:rsid w:val="003F68F9"/>
    <w:rsid w:val="00400ABD"/>
    <w:rsid w:val="0041142A"/>
    <w:rsid w:val="00415BDA"/>
    <w:rsid w:val="00415DBD"/>
    <w:rsid w:val="00431BA4"/>
    <w:rsid w:val="00436A79"/>
    <w:rsid w:val="004425AF"/>
    <w:rsid w:val="00445245"/>
    <w:rsid w:val="0044567F"/>
    <w:rsid w:val="00456746"/>
    <w:rsid w:val="00462579"/>
    <w:rsid w:val="00470491"/>
    <w:rsid w:val="00482584"/>
    <w:rsid w:val="00486F57"/>
    <w:rsid w:val="0049458C"/>
    <w:rsid w:val="00496B1E"/>
    <w:rsid w:val="00497018"/>
    <w:rsid w:val="004A03CB"/>
    <w:rsid w:val="004B1E9D"/>
    <w:rsid w:val="004C3B9A"/>
    <w:rsid w:val="004C5E95"/>
    <w:rsid w:val="004C785B"/>
    <w:rsid w:val="004D041E"/>
    <w:rsid w:val="004D13E5"/>
    <w:rsid w:val="004D3268"/>
    <w:rsid w:val="004F7EB8"/>
    <w:rsid w:val="00507CE3"/>
    <w:rsid w:val="00517AAD"/>
    <w:rsid w:val="00526331"/>
    <w:rsid w:val="00532C8F"/>
    <w:rsid w:val="005468F2"/>
    <w:rsid w:val="005807B9"/>
    <w:rsid w:val="00582E3B"/>
    <w:rsid w:val="0059067E"/>
    <w:rsid w:val="005B1954"/>
    <w:rsid w:val="005B27EF"/>
    <w:rsid w:val="005B4FF1"/>
    <w:rsid w:val="005B7D21"/>
    <w:rsid w:val="005E25C2"/>
    <w:rsid w:val="005F65E5"/>
    <w:rsid w:val="0061677E"/>
    <w:rsid w:val="00621601"/>
    <w:rsid w:val="00651551"/>
    <w:rsid w:val="0065333D"/>
    <w:rsid w:val="00662CCF"/>
    <w:rsid w:val="006656B3"/>
    <w:rsid w:val="006800D6"/>
    <w:rsid w:val="006A2280"/>
    <w:rsid w:val="006E1560"/>
    <w:rsid w:val="006E529B"/>
    <w:rsid w:val="006F2855"/>
    <w:rsid w:val="007011B4"/>
    <w:rsid w:val="0070589B"/>
    <w:rsid w:val="00711F7A"/>
    <w:rsid w:val="00751D1E"/>
    <w:rsid w:val="00751FEF"/>
    <w:rsid w:val="0075598B"/>
    <w:rsid w:val="007743BC"/>
    <w:rsid w:val="007A4D10"/>
    <w:rsid w:val="007C35C6"/>
    <w:rsid w:val="007C594A"/>
    <w:rsid w:val="007C5C6D"/>
    <w:rsid w:val="007C66BC"/>
    <w:rsid w:val="007E2C4F"/>
    <w:rsid w:val="007E5578"/>
    <w:rsid w:val="007E59CF"/>
    <w:rsid w:val="007F535A"/>
    <w:rsid w:val="007F625E"/>
    <w:rsid w:val="00811BEA"/>
    <w:rsid w:val="008128A7"/>
    <w:rsid w:val="00852714"/>
    <w:rsid w:val="00857ADF"/>
    <w:rsid w:val="0086734D"/>
    <w:rsid w:val="00891C9D"/>
    <w:rsid w:val="00895827"/>
    <w:rsid w:val="00895D68"/>
    <w:rsid w:val="008A718A"/>
    <w:rsid w:val="008B3BF8"/>
    <w:rsid w:val="008B60E3"/>
    <w:rsid w:val="008B6716"/>
    <w:rsid w:val="008C3297"/>
    <w:rsid w:val="008C4EC7"/>
    <w:rsid w:val="008D0233"/>
    <w:rsid w:val="008E6DA2"/>
    <w:rsid w:val="008E7482"/>
    <w:rsid w:val="0090080E"/>
    <w:rsid w:val="00915A0B"/>
    <w:rsid w:val="009239B4"/>
    <w:rsid w:val="00925825"/>
    <w:rsid w:val="00927C27"/>
    <w:rsid w:val="0093051C"/>
    <w:rsid w:val="0093305B"/>
    <w:rsid w:val="00933674"/>
    <w:rsid w:val="00952C2C"/>
    <w:rsid w:val="00962901"/>
    <w:rsid w:val="00973B57"/>
    <w:rsid w:val="00982C65"/>
    <w:rsid w:val="00983624"/>
    <w:rsid w:val="00984410"/>
    <w:rsid w:val="009A1AAD"/>
    <w:rsid w:val="009A1CE7"/>
    <w:rsid w:val="009D52C0"/>
    <w:rsid w:val="009F6C20"/>
    <w:rsid w:val="009F6F06"/>
    <w:rsid w:val="00A0330E"/>
    <w:rsid w:val="00A154BB"/>
    <w:rsid w:val="00A246F5"/>
    <w:rsid w:val="00A70777"/>
    <w:rsid w:val="00A749D7"/>
    <w:rsid w:val="00A76148"/>
    <w:rsid w:val="00A968D4"/>
    <w:rsid w:val="00AB6ACD"/>
    <w:rsid w:val="00AC25A9"/>
    <w:rsid w:val="00AD579C"/>
    <w:rsid w:val="00AD733C"/>
    <w:rsid w:val="00AE2800"/>
    <w:rsid w:val="00B23F8F"/>
    <w:rsid w:val="00B24906"/>
    <w:rsid w:val="00B257AC"/>
    <w:rsid w:val="00B2659D"/>
    <w:rsid w:val="00B4323D"/>
    <w:rsid w:val="00B5011F"/>
    <w:rsid w:val="00B504A5"/>
    <w:rsid w:val="00B838BE"/>
    <w:rsid w:val="00B862E6"/>
    <w:rsid w:val="00B92C2C"/>
    <w:rsid w:val="00BA70A7"/>
    <w:rsid w:val="00BB3ECC"/>
    <w:rsid w:val="00BD3A1C"/>
    <w:rsid w:val="00BE13AD"/>
    <w:rsid w:val="00BF2110"/>
    <w:rsid w:val="00C01CF8"/>
    <w:rsid w:val="00C13FD9"/>
    <w:rsid w:val="00C23448"/>
    <w:rsid w:val="00C5074C"/>
    <w:rsid w:val="00C51826"/>
    <w:rsid w:val="00C660CB"/>
    <w:rsid w:val="00C72463"/>
    <w:rsid w:val="00C94D3A"/>
    <w:rsid w:val="00CD626A"/>
    <w:rsid w:val="00CE6AD3"/>
    <w:rsid w:val="00CF30A7"/>
    <w:rsid w:val="00D00648"/>
    <w:rsid w:val="00D423D9"/>
    <w:rsid w:val="00D57985"/>
    <w:rsid w:val="00D703FE"/>
    <w:rsid w:val="00D70E1A"/>
    <w:rsid w:val="00D74738"/>
    <w:rsid w:val="00D872FD"/>
    <w:rsid w:val="00DA5560"/>
    <w:rsid w:val="00DB1F53"/>
    <w:rsid w:val="00DB74D2"/>
    <w:rsid w:val="00DB7FD9"/>
    <w:rsid w:val="00DC5D98"/>
    <w:rsid w:val="00DE2B6A"/>
    <w:rsid w:val="00E01A7A"/>
    <w:rsid w:val="00E02989"/>
    <w:rsid w:val="00E158D3"/>
    <w:rsid w:val="00E30762"/>
    <w:rsid w:val="00E40F8E"/>
    <w:rsid w:val="00E416DB"/>
    <w:rsid w:val="00E618D8"/>
    <w:rsid w:val="00E64F46"/>
    <w:rsid w:val="00E70D85"/>
    <w:rsid w:val="00E77ED9"/>
    <w:rsid w:val="00E91512"/>
    <w:rsid w:val="00E93154"/>
    <w:rsid w:val="00ED1833"/>
    <w:rsid w:val="00F30517"/>
    <w:rsid w:val="00F63275"/>
    <w:rsid w:val="00F66BAD"/>
    <w:rsid w:val="00F77EED"/>
    <w:rsid w:val="00F80AAB"/>
    <w:rsid w:val="00F822AB"/>
    <w:rsid w:val="00F97362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F4B3"/>
  <w15:docId w15:val="{6C9DD82B-0980-47AC-A6F1-ED4C846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41E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048E2"/>
    <w:pPr>
      <w:keepNext/>
      <w:keepLines/>
      <w:numPr>
        <w:numId w:val="6"/>
      </w:numPr>
      <w:spacing w:before="480" w:after="240" w:line="230" w:lineRule="auto"/>
      <w:jc w:val="both"/>
      <w:outlineLvl w:val="0"/>
    </w:pPr>
    <w:rPr>
      <w:rFonts w:ascii="Arial Negrito" w:eastAsiaTheme="majorEastAsia" w:hAnsi="Arial Negrito" w:cstheme="majorBidi"/>
      <w:b/>
      <w:bCs/>
      <w:smallCaps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048E2"/>
    <w:pPr>
      <w:keepNext/>
      <w:keepLines/>
      <w:numPr>
        <w:ilvl w:val="1"/>
        <w:numId w:val="6"/>
      </w:numPr>
      <w:spacing w:before="320" w:after="320" w:line="230" w:lineRule="auto"/>
      <w:jc w:val="both"/>
      <w:outlineLvl w:val="1"/>
    </w:pPr>
    <w:rPr>
      <w:rFonts w:ascii="Arial" w:eastAsiaTheme="majorEastAsia" w:hAnsi="Arial" w:cs="Arial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3048E2"/>
    <w:pPr>
      <w:keepNext/>
      <w:keepLines/>
      <w:spacing w:before="120"/>
      <w:jc w:val="both"/>
      <w:outlineLvl w:val="2"/>
    </w:pPr>
    <w:rPr>
      <w:rFonts w:ascii="Arial" w:eastAsia="Calibri" w:hAnsi="Arial" w:cs="Arial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48E2"/>
    <w:pPr>
      <w:keepNext/>
      <w:keepLines/>
      <w:numPr>
        <w:ilvl w:val="3"/>
        <w:numId w:val="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48E2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48E2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48E2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48E2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48E2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0648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46E95"/>
    <w:pPr>
      <w:ind w:left="720"/>
      <w:contextualSpacing/>
    </w:pPr>
  </w:style>
  <w:style w:type="paragraph" w:customStyle="1" w:styleId="texto10">
    <w:name w:val="texto10"/>
    <w:basedOn w:val="Normal"/>
    <w:rsid w:val="0024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0AAB"/>
  </w:style>
  <w:style w:type="paragraph" w:styleId="Textodebalo">
    <w:name w:val="Balloon Text"/>
    <w:basedOn w:val="Normal"/>
    <w:link w:val="TextodebaloChar"/>
    <w:uiPriority w:val="99"/>
    <w:semiHidden/>
    <w:unhideWhenUsed/>
    <w:rsid w:val="004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B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3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30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30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06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A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CC8"/>
  </w:style>
  <w:style w:type="paragraph" w:styleId="Rodap">
    <w:name w:val="footer"/>
    <w:basedOn w:val="Normal"/>
    <w:link w:val="RodapChar"/>
    <w:uiPriority w:val="99"/>
    <w:unhideWhenUsed/>
    <w:rsid w:val="003A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C8"/>
  </w:style>
  <w:style w:type="character" w:customStyle="1" w:styleId="PargrafodaListaChar">
    <w:name w:val="Parágrafo da Lista Char"/>
    <w:link w:val="PargrafodaLista"/>
    <w:uiPriority w:val="34"/>
    <w:locked/>
    <w:rsid w:val="002505E4"/>
  </w:style>
  <w:style w:type="character" w:customStyle="1" w:styleId="Ttulo1Char">
    <w:name w:val="Título 1 Char"/>
    <w:basedOn w:val="Fontepargpadro"/>
    <w:link w:val="Ttulo1"/>
    <w:uiPriority w:val="9"/>
    <w:rsid w:val="003048E2"/>
    <w:rPr>
      <w:rFonts w:ascii="Arial Negrito" w:eastAsiaTheme="majorEastAsia" w:hAnsi="Arial Negrito" w:cstheme="majorBidi"/>
      <w:b/>
      <w:bCs/>
      <w:smallCaps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48E2"/>
    <w:rPr>
      <w:rFonts w:ascii="Arial" w:eastAsiaTheme="majorEastAsia" w:hAnsi="Arial" w:cs="Arial"/>
      <w:b/>
      <w:bCs/>
      <w:smallCap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3048E2"/>
    <w:rPr>
      <w:rFonts w:ascii="Arial" w:eastAsia="Calibri" w:hAnsi="Arial" w:cs="Arial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4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48E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48E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48E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48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4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895827"/>
    <w:rPr>
      <w:rFonts w:cs="Open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49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CP/Lcp1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1989_1994/L83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2A5B-A8A8-47FF-AA2A-D86D95A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4903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inez.ruediger</dc:creator>
  <cp:lastModifiedBy>SEGER</cp:lastModifiedBy>
  <cp:revision>6</cp:revision>
  <cp:lastPrinted>2020-03-17T21:50:00Z</cp:lastPrinted>
  <dcterms:created xsi:type="dcterms:W3CDTF">2020-03-17T21:48:00Z</dcterms:created>
  <dcterms:modified xsi:type="dcterms:W3CDTF">2023-03-07T14:02:00Z</dcterms:modified>
</cp:coreProperties>
</file>