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73FAF" w14:textId="77777777" w:rsidR="008C4EC7" w:rsidRPr="00FE57FC" w:rsidRDefault="00734B25" w:rsidP="003F68F9">
      <w:pPr>
        <w:spacing w:before="120" w:after="120" w:line="240" w:lineRule="auto"/>
        <w:jc w:val="center"/>
        <w:rPr>
          <w:rFonts w:ascii="Garamond" w:hAnsi="Garamond" w:cs="Arial"/>
          <w:b/>
          <w:color w:val="002060"/>
          <w:sz w:val="42"/>
          <w:szCs w:val="42"/>
        </w:rPr>
      </w:pPr>
      <w:r w:rsidRPr="00FE57FC">
        <w:rPr>
          <w:rFonts w:ascii="Garamond" w:hAnsi="Garamond" w:cs="Arial"/>
          <w:b/>
          <w:noProof/>
          <w:color w:val="002060"/>
          <w:sz w:val="42"/>
          <w:szCs w:val="42"/>
          <w:lang w:eastAsia="pt-BR"/>
        </w:rPr>
        <w:drawing>
          <wp:anchor distT="0" distB="0" distL="114300" distR="114300" simplePos="0" relativeHeight="251658240" behindDoc="0" locked="0" layoutInCell="1" allowOverlap="1" wp14:anchorId="3C6448EE" wp14:editId="6E4EA52E">
            <wp:simplePos x="0" y="0"/>
            <wp:positionH relativeFrom="page">
              <wp:align>right</wp:align>
            </wp:positionH>
            <wp:positionV relativeFrom="paragraph">
              <wp:posOffset>-899795</wp:posOffset>
            </wp:positionV>
            <wp:extent cx="7667625" cy="10681335"/>
            <wp:effectExtent l="0" t="0" r="9525" b="5715"/>
            <wp:wrapNone/>
            <wp:docPr id="1" name="Imagem 1"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la de celular com texto preto sobre fundo branc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7625" cy="10681335"/>
                    </a:xfrm>
                    <a:prstGeom prst="rect">
                      <a:avLst/>
                    </a:prstGeom>
                  </pic:spPr>
                </pic:pic>
              </a:graphicData>
            </a:graphic>
          </wp:anchor>
        </w:drawing>
      </w:r>
    </w:p>
    <w:p w14:paraId="0F82E123"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2B03B6E9"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488CCF27"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5CF3E215"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13353472"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7B29B3B4"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09E00CBC"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73554403"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291F1E61"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29DD294F"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24868CC6"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58D34FEF"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3DAE7305"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687F4F92"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771C7C30"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1AD529B6"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7EADF0B9"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71F8DF97"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73A6A3C1"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5AE525B6"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23E4A809" w14:textId="77777777" w:rsidR="008C4EC7" w:rsidRPr="00FE57FC" w:rsidRDefault="008C4EC7" w:rsidP="003F68F9">
      <w:pPr>
        <w:spacing w:before="120" w:after="120" w:line="240" w:lineRule="auto"/>
        <w:jc w:val="center"/>
        <w:rPr>
          <w:rFonts w:ascii="Garamond" w:hAnsi="Garamond" w:cs="Arial"/>
          <w:b/>
          <w:color w:val="002060"/>
          <w:sz w:val="42"/>
          <w:szCs w:val="42"/>
        </w:rPr>
      </w:pPr>
    </w:p>
    <w:p w14:paraId="160F30D9" w14:textId="77777777" w:rsidR="00B92C2C" w:rsidRPr="00FE57FC" w:rsidRDefault="004425AF" w:rsidP="003F68F9">
      <w:pPr>
        <w:spacing w:before="120" w:after="120" w:line="240" w:lineRule="auto"/>
        <w:jc w:val="center"/>
        <w:rPr>
          <w:rFonts w:ascii="Garamond" w:hAnsi="Garamond" w:cs="Arial"/>
          <w:b/>
          <w:color w:val="002060"/>
          <w:sz w:val="42"/>
          <w:szCs w:val="42"/>
        </w:rPr>
      </w:pPr>
      <w:r w:rsidRPr="00FE57FC">
        <w:rPr>
          <w:rFonts w:ascii="Garamond" w:hAnsi="Garamond" w:cs="Arial"/>
          <w:b/>
          <w:color w:val="002060"/>
          <w:sz w:val="42"/>
          <w:szCs w:val="42"/>
        </w:rPr>
        <w:lastRenderedPageBreak/>
        <w:t xml:space="preserve">CARTA ANUAL DE POLÍTICAS PÚBLICAS E GOVERNANÇA CORPORATIVA </w:t>
      </w:r>
    </w:p>
    <w:p w14:paraId="5FD1A48F" w14:textId="77777777" w:rsidR="003A5CC8" w:rsidRPr="00FE57FC" w:rsidRDefault="003A5CC8" w:rsidP="00F20193">
      <w:pPr>
        <w:spacing w:before="120" w:after="120"/>
        <w:jc w:val="both"/>
        <w:rPr>
          <w:rFonts w:ascii="Garamond" w:hAnsi="Garamond" w:cs="Arial"/>
          <w:color w:val="002060"/>
        </w:rPr>
      </w:pPr>
    </w:p>
    <w:p w14:paraId="08A2F6D7" w14:textId="25A80307" w:rsidR="00B92C2C" w:rsidRPr="00FE57FC" w:rsidRDefault="004425AF" w:rsidP="00F20193">
      <w:pPr>
        <w:spacing w:before="120" w:after="120"/>
        <w:jc w:val="both"/>
        <w:rPr>
          <w:rFonts w:ascii="Garamond" w:hAnsi="Garamond" w:cs="Arial"/>
          <w:color w:val="002060"/>
          <w:sz w:val="24"/>
          <w:szCs w:val="24"/>
        </w:rPr>
      </w:pPr>
      <w:r w:rsidRPr="00FE57FC">
        <w:rPr>
          <w:rFonts w:ascii="Garamond" w:hAnsi="Garamond" w:cs="Arial"/>
          <w:color w:val="002060"/>
          <w:sz w:val="24"/>
          <w:szCs w:val="24"/>
        </w:rPr>
        <w:t>Em conformidade com o art. 8º, inciso</w:t>
      </w:r>
      <w:r w:rsidR="00621601" w:rsidRPr="00FE57FC">
        <w:rPr>
          <w:rFonts w:ascii="Garamond" w:hAnsi="Garamond" w:cs="Arial"/>
          <w:color w:val="002060"/>
          <w:sz w:val="24"/>
          <w:szCs w:val="24"/>
        </w:rPr>
        <w:t>s</w:t>
      </w:r>
      <w:r w:rsidRPr="00FE57FC">
        <w:rPr>
          <w:rFonts w:ascii="Garamond" w:hAnsi="Garamond" w:cs="Arial"/>
          <w:color w:val="002060"/>
          <w:sz w:val="24"/>
          <w:szCs w:val="24"/>
        </w:rPr>
        <w:t xml:space="preserve"> I e VIII, da Lei nº 13.303, de 30 de junho de 2016, </w:t>
      </w:r>
      <w:r w:rsidR="000A24EC" w:rsidRPr="00FE57FC">
        <w:rPr>
          <w:rFonts w:ascii="Garamond" w:hAnsi="Garamond" w:cs="Arial"/>
          <w:color w:val="002060"/>
          <w:sz w:val="24"/>
          <w:szCs w:val="24"/>
        </w:rPr>
        <w:t xml:space="preserve">e com o inciso XXXIII, artigo 42 do Estatuto Social </w:t>
      </w:r>
      <w:r w:rsidRPr="00FE57FC">
        <w:rPr>
          <w:rFonts w:ascii="Garamond" w:hAnsi="Garamond" w:cs="Arial"/>
          <w:color w:val="002060"/>
          <w:sz w:val="24"/>
          <w:szCs w:val="24"/>
        </w:rPr>
        <w:t xml:space="preserve">o Conselho de Administração </w:t>
      </w:r>
      <w:r w:rsidR="000A24EC" w:rsidRPr="00FE57FC">
        <w:rPr>
          <w:rFonts w:ascii="Garamond" w:hAnsi="Garamond" w:cs="Arial"/>
          <w:color w:val="002060"/>
          <w:sz w:val="24"/>
          <w:szCs w:val="24"/>
        </w:rPr>
        <w:t>aprova e divulga</w:t>
      </w:r>
      <w:r w:rsidRPr="00FE57FC">
        <w:rPr>
          <w:rFonts w:ascii="Garamond" w:hAnsi="Garamond" w:cs="Arial"/>
          <w:color w:val="002060"/>
          <w:sz w:val="24"/>
          <w:szCs w:val="24"/>
        </w:rPr>
        <w:t xml:space="preserve"> Carta Anual sobre Políticas Públicas e Governança Corporativa referente ao exercício social de 20</w:t>
      </w:r>
      <w:r w:rsidR="00903A77" w:rsidRPr="00FE57FC">
        <w:rPr>
          <w:rFonts w:ascii="Garamond" w:hAnsi="Garamond" w:cs="Arial"/>
          <w:color w:val="002060"/>
          <w:sz w:val="24"/>
          <w:szCs w:val="24"/>
        </w:rPr>
        <w:t>20</w:t>
      </w:r>
      <w:r w:rsidRPr="00FE57FC">
        <w:rPr>
          <w:rFonts w:ascii="Garamond" w:hAnsi="Garamond" w:cs="Arial"/>
          <w:color w:val="002060"/>
          <w:sz w:val="24"/>
          <w:szCs w:val="24"/>
        </w:rPr>
        <w:t xml:space="preserve">. </w:t>
      </w:r>
    </w:p>
    <w:p w14:paraId="6EE4575E" w14:textId="77777777" w:rsidR="003A5CC8" w:rsidRPr="00FE57FC" w:rsidRDefault="003A5CC8" w:rsidP="003048E2">
      <w:pPr>
        <w:spacing w:before="120" w:after="120" w:line="240" w:lineRule="auto"/>
        <w:jc w:val="both"/>
        <w:rPr>
          <w:rFonts w:ascii="Garamond" w:hAnsi="Garamond" w:cs="Arial"/>
          <w:b/>
          <w:color w:val="002060"/>
          <w:sz w:val="24"/>
          <w:szCs w:val="24"/>
        </w:rPr>
      </w:pPr>
    </w:p>
    <w:p w14:paraId="48F89301" w14:textId="77777777" w:rsidR="00B92C2C" w:rsidRPr="00FE57FC" w:rsidRDefault="004425AF" w:rsidP="003048E2">
      <w:pPr>
        <w:spacing w:before="120" w:after="120" w:line="240" w:lineRule="auto"/>
        <w:jc w:val="both"/>
        <w:rPr>
          <w:rFonts w:ascii="Garamond" w:hAnsi="Garamond" w:cs="Arial"/>
          <w:b/>
          <w:color w:val="002060"/>
          <w:sz w:val="26"/>
          <w:szCs w:val="26"/>
        </w:rPr>
      </w:pPr>
      <w:r w:rsidRPr="00FE57FC">
        <w:rPr>
          <w:rFonts w:ascii="Garamond" w:hAnsi="Garamond" w:cs="Arial"/>
          <w:b/>
          <w:color w:val="002060"/>
          <w:sz w:val="26"/>
          <w:szCs w:val="26"/>
        </w:rPr>
        <w:t xml:space="preserve">IDENTIFICAÇÃO GERAL </w:t>
      </w:r>
    </w:p>
    <w:p w14:paraId="032C6FE6" w14:textId="77777777" w:rsidR="003A5CC8" w:rsidRPr="00FE57FC" w:rsidRDefault="003A5CC8" w:rsidP="003048E2">
      <w:pPr>
        <w:spacing w:before="120" w:after="120" w:line="240" w:lineRule="auto"/>
        <w:jc w:val="both"/>
        <w:rPr>
          <w:rFonts w:ascii="Garamond" w:hAnsi="Garamond" w:cs="Arial"/>
          <w:b/>
          <w:color w:val="002060"/>
          <w:sz w:val="24"/>
          <w:szCs w:val="24"/>
        </w:rPr>
      </w:pPr>
    </w:p>
    <w:tbl>
      <w:tblPr>
        <w:tblStyle w:val="Tabelacomgrade"/>
        <w:tblW w:w="5000" w:type="pct"/>
        <w:jc w:val="center"/>
        <w:tblBorders>
          <w:top w:val="double" w:sz="12" w:space="0" w:color="002060"/>
          <w:left w:val="double" w:sz="12" w:space="0" w:color="002060"/>
          <w:bottom w:val="double" w:sz="12" w:space="0" w:color="002060"/>
          <w:right w:val="double" w:sz="12" w:space="0" w:color="002060"/>
          <w:insideH w:val="double" w:sz="12" w:space="0" w:color="002060"/>
          <w:insideV w:val="double" w:sz="12" w:space="0" w:color="002060"/>
        </w:tblBorders>
        <w:tblLook w:val="04A0" w:firstRow="1" w:lastRow="0" w:firstColumn="1" w:lastColumn="0" w:noHBand="0" w:noVBand="1"/>
      </w:tblPr>
      <w:tblGrid>
        <w:gridCol w:w="3174"/>
        <w:gridCol w:w="5240"/>
      </w:tblGrid>
      <w:tr w:rsidR="00FE57FC" w:rsidRPr="00FE57FC" w14:paraId="151C4E25" w14:textId="77777777" w:rsidTr="008C4EC7">
        <w:trPr>
          <w:jc w:val="center"/>
        </w:trPr>
        <w:tc>
          <w:tcPr>
            <w:tcW w:w="1886" w:type="pct"/>
            <w:vAlign w:val="center"/>
          </w:tcPr>
          <w:p w14:paraId="5ACD788F" w14:textId="77777777" w:rsidR="004F7EB8" w:rsidRPr="00FE57FC" w:rsidRDefault="004425AF" w:rsidP="003048E2">
            <w:pPr>
              <w:ind w:right="34"/>
              <w:jc w:val="both"/>
              <w:rPr>
                <w:rFonts w:ascii="Garamond" w:hAnsi="Garamond" w:cs="Arial"/>
                <w:b/>
                <w:color w:val="002060"/>
                <w:sz w:val="24"/>
                <w:szCs w:val="24"/>
              </w:rPr>
            </w:pPr>
            <w:r w:rsidRPr="00FE57FC">
              <w:rPr>
                <w:rFonts w:ascii="Garamond" w:hAnsi="Garamond" w:cs="Arial"/>
                <w:b/>
                <w:color w:val="002060"/>
                <w:sz w:val="24"/>
                <w:szCs w:val="24"/>
              </w:rPr>
              <w:t>CNPJ</w:t>
            </w:r>
            <w:r w:rsidR="00621601" w:rsidRPr="00FE57FC">
              <w:rPr>
                <w:rFonts w:ascii="Garamond" w:hAnsi="Garamond" w:cs="Arial"/>
                <w:b/>
                <w:color w:val="002060"/>
                <w:sz w:val="24"/>
                <w:szCs w:val="24"/>
              </w:rPr>
              <w:t>:</w:t>
            </w:r>
          </w:p>
        </w:tc>
        <w:tc>
          <w:tcPr>
            <w:tcW w:w="3114" w:type="pct"/>
            <w:vAlign w:val="center"/>
          </w:tcPr>
          <w:p w14:paraId="1796F406" w14:textId="77777777" w:rsidR="004F7EB8" w:rsidRPr="00FE57FC" w:rsidRDefault="004425AF" w:rsidP="003048E2">
            <w:pPr>
              <w:jc w:val="both"/>
              <w:rPr>
                <w:rFonts w:ascii="Garamond" w:hAnsi="Garamond" w:cs="Arial"/>
                <w:color w:val="002060"/>
                <w:sz w:val="24"/>
                <w:szCs w:val="24"/>
              </w:rPr>
            </w:pPr>
            <w:r w:rsidRPr="00FE57FC">
              <w:rPr>
                <w:rFonts w:ascii="Garamond" w:hAnsi="Garamond" w:cs="Arial"/>
                <w:color w:val="002060"/>
                <w:sz w:val="24"/>
                <w:szCs w:val="24"/>
              </w:rPr>
              <w:t>17.909.518/0001-45</w:t>
            </w:r>
          </w:p>
        </w:tc>
      </w:tr>
      <w:tr w:rsidR="00FE57FC" w:rsidRPr="00FE57FC" w14:paraId="56F29C90" w14:textId="77777777" w:rsidTr="008C4EC7">
        <w:trPr>
          <w:jc w:val="center"/>
        </w:trPr>
        <w:tc>
          <w:tcPr>
            <w:tcW w:w="1886" w:type="pct"/>
            <w:vAlign w:val="center"/>
          </w:tcPr>
          <w:p w14:paraId="79EE8B40" w14:textId="77777777" w:rsidR="004F7EB8" w:rsidRPr="00FE57FC" w:rsidRDefault="004425AF" w:rsidP="003048E2">
            <w:pPr>
              <w:ind w:right="34"/>
              <w:jc w:val="both"/>
              <w:rPr>
                <w:rFonts w:ascii="Garamond" w:hAnsi="Garamond" w:cs="Arial"/>
                <w:b/>
                <w:color w:val="002060"/>
                <w:sz w:val="24"/>
                <w:szCs w:val="24"/>
              </w:rPr>
            </w:pPr>
            <w:r w:rsidRPr="00FE57FC">
              <w:rPr>
                <w:rFonts w:ascii="Garamond" w:hAnsi="Garamond" w:cs="Arial"/>
                <w:b/>
                <w:color w:val="002060"/>
                <w:sz w:val="24"/>
                <w:szCs w:val="24"/>
              </w:rPr>
              <w:t>NIRE:</w:t>
            </w:r>
          </w:p>
        </w:tc>
        <w:tc>
          <w:tcPr>
            <w:tcW w:w="3114" w:type="pct"/>
            <w:vAlign w:val="center"/>
          </w:tcPr>
          <w:p w14:paraId="4F60FDBA" w14:textId="77777777" w:rsidR="004F7EB8" w:rsidRPr="00FE57FC" w:rsidRDefault="004425AF" w:rsidP="003048E2">
            <w:pPr>
              <w:tabs>
                <w:tab w:val="left" w:pos="1029"/>
              </w:tabs>
              <w:ind w:firstLine="33"/>
              <w:jc w:val="both"/>
              <w:rPr>
                <w:rFonts w:ascii="Garamond" w:hAnsi="Garamond" w:cs="Arial"/>
                <w:color w:val="002060"/>
                <w:sz w:val="24"/>
                <w:szCs w:val="24"/>
              </w:rPr>
            </w:pPr>
            <w:r w:rsidRPr="00FE57FC">
              <w:rPr>
                <w:rFonts w:ascii="Garamond" w:hAnsi="Garamond" w:cs="Arial"/>
                <w:color w:val="002060"/>
                <w:sz w:val="24"/>
                <w:szCs w:val="24"/>
              </w:rPr>
              <w:t>5350000520-0</w:t>
            </w:r>
          </w:p>
        </w:tc>
      </w:tr>
      <w:tr w:rsidR="00FE57FC" w:rsidRPr="00FE57FC" w14:paraId="5F16FFD5" w14:textId="77777777" w:rsidTr="008C4EC7">
        <w:trPr>
          <w:jc w:val="center"/>
        </w:trPr>
        <w:tc>
          <w:tcPr>
            <w:tcW w:w="1886" w:type="pct"/>
            <w:vAlign w:val="center"/>
          </w:tcPr>
          <w:p w14:paraId="346D31E8" w14:textId="77777777" w:rsidR="004F7EB8" w:rsidRPr="00FE57FC" w:rsidRDefault="004425AF" w:rsidP="003048E2">
            <w:pPr>
              <w:ind w:right="34"/>
              <w:jc w:val="both"/>
              <w:rPr>
                <w:rFonts w:ascii="Garamond" w:hAnsi="Garamond" w:cs="Arial"/>
                <w:b/>
                <w:color w:val="002060"/>
                <w:sz w:val="24"/>
                <w:szCs w:val="24"/>
              </w:rPr>
            </w:pPr>
            <w:r w:rsidRPr="00FE57FC">
              <w:rPr>
                <w:rFonts w:ascii="Garamond" w:hAnsi="Garamond" w:cs="Arial"/>
                <w:b/>
                <w:color w:val="002060"/>
                <w:sz w:val="24"/>
                <w:szCs w:val="24"/>
              </w:rPr>
              <w:t xml:space="preserve">Sede: </w:t>
            </w:r>
          </w:p>
        </w:tc>
        <w:tc>
          <w:tcPr>
            <w:tcW w:w="3114" w:type="pct"/>
            <w:vAlign w:val="center"/>
          </w:tcPr>
          <w:p w14:paraId="5C2052D8" w14:textId="77777777" w:rsidR="004F7EB8" w:rsidRPr="00FE57FC" w:rsidRDefault="004425AF" w:rsidP="003048E2">
            <w:pPr>
              <w:jc w:val="both"/>
              <w:rPr>
                <w:rFonts w:ascii="Garamond" w:hAnsi="Garamond" w:cs="Arial"/>
                <w:color w:val="002060"/>
                <w:sz w:val="24"/>
                <w:szCs w:val="24"/>
              </w:rPr>
            </w:pPr>
            <w:r w:rsidRPr="00FE57FC">
              <w:rPr>
                <w:rFonts w:ascii="Garamond" w:hAnsi="Garamond" w:cs="Arial"/>
                <w:color w:val="002060"/>
                <w:sz w:val="24"/>
                <w:szCs w:val="24"/>
              </w:rPr>
              <w:t>Brasília/DF</w:t>
            </w:r>
          </w:p>
        </w:tc>
      </w:tr>
      <w:tr w:rsidR="00FE57FC" w:rsidRPr="00FE57FC" w14:paraId="59B4A873" w14:textId="77777777" w:rsidTr="008C4EC7">
        <w:trPr>
          <w:jc w:val="center"/>
        </w:trPr>
        <w:tc>
          <w:tcPr>
            <w:tcW w:w="1886" w:type="pct"/>
            <w:vAlign w:val="center"/>
          </w:tcPr>
          <w:p w14:paraId="106186A4" w14:textId="77777777" w:rsidR="004F7EB8" w:rsidRPr="00FE57FC" w:rsidRDefault="004425AF" w:rsidP="003048E2">
            <w:pPr>
              <w:ind w:right="34"/>
              <w:jc w:val="both"/>
              <w:rPr>
                <w:rFonts w:ascii="Garamond" w:hAnsi="Garamond" w:cs="Arial"/>
                <w:b/>
                <w:color w:val="002060"/>
                <w:sz w:val="24"/>
                <w:szCs w:val="24"/>
              </w:rPr>
            </w:pPr>
            <w:r w:rsidRPr="00FE57FC">
              <w:rPr>
                <w:rFonts w:ascii="Garamond" w:hAnsi="Garamond" w:cs="Arial"/>
                <w:b/>
                <w:color w:val="002060"/>
                <w:sz w:val="24"/>
                <w:szCs w:val="24"/>
              </w:rPr>
              <w:t>Tipo de estatal:</w:t>
            </w:r>
          </w:p>
        </w:tc>
        <w:tc>
          <w:tcPr>
            <w:tcW w:w="3114" w:type="pct"/>
            <w:vAlign w:val="center"/>
          </w:tcPr>
          <w:p w14:paraId="08770983" w14:textId="77777777" w:rsidR="004F7EB8" w:rsidRPr="00FE57FC" w:rsidRDefault="004425AF" w:rsidP="003048E2">
            <w:pPr>
              <w:jc w:val="both"/>
              <w:rPr>
                <w:rFonts w:ascii="Garamond" w:hAnsi="Garamond" w:cs="Arial"/>
                <w:color w:val="002060"/>
                <w:sz w:val="24"/>
                <w:szCs w:val="24"/>
              </w:rPr>
            </w:pPr>
            <w:r w:rsidRPr="00FE57FC">
              <w:rPr>
                <w:rFonts w:ascii="Garamond" w:hAnsi="Garamond" w:cs="Arial"/>
                <w:color w:val="002060"/>
                <w:sz w:val="24"/>
                <w:szCs w:val="24"/>
              </w:rPr>
              <w:t>Empresa Pública</w:t>
            </w:r>
          </w:p>
        </w:tc>
      </w:tr>
      <w:tr w:rsidR="00FE57FC" w:rsidRPr="00FE57FC" w14:paraId="7050ACDD" w14:textId="77777777" w:rsidTr="008C4EC7">
        <w:trPr>
          <w:jc w:val="center"/>
        </w:trPr>
        <w:tc>
          <w:tcPr>
            <w:tcW w:w="1886" w:type="pct"/>
            <w:vAlign w:val="center"/>
          </w:tcPr>
          <w:p w14:paraId="02AF3705" w14:textId="77777777" w:rsidR="004F7EB8" w:rsidRPr="00FE57FC" w:rsidRDefault="004425AF" w:rsidP="003048E2">
            <w:pPr>
              <w:ind w:right="34"/>
              <w:jc w:val="both"/>
              <w:rPr>
                <w:rFonts w:ascii="Garamond" w:hAnsi="Garamond" w:cs="Arial"/>
                <w:b/>
                <w:color w:val="002060"/>
                <w:sz w:val="24"/>
                <w:szCs w:val="24"/>
              </w:rPr>
            </w:pPr>
            <w:r w:rsidRPr="00FE57FC">
              <w:rPr>
                <w:rFonts w:ascii="Garamond" w:hAnsi="Garamond" w:cs="Arial"/>
                <w:b/>
                <w:color w:val="002060"/>
                <w:sz w:val="24"/>
                <w:szCs w:val="24"/>
              </w:rPr>
              <w:t xml:space="preserve">Acionista controlador: </w:t>
            </w:r>
          </w:p>
        </w:tc>
        <w:tc>
          <w:tcPr>
            <w:tcW w:w="3114" w:type="pct"/>
            <w:vAlign w:val="center"/>
          </w:tcPr>
          <w:p w14:paraId="16DE7C3B" w14:textId="77777777" w:rsidR="004F7EB8" w:rsidRPr="00FE57FC" w:rsidRDefault="004425AF" w:rsidP="003048E2">
            <w:pPr>
              <w:jc w:val="both"/>
              <w:rPr>
                <w:rFonts w:ascii="Garamond" w:hAnsi="Garamond" w:cs="Arial"/>
                <w:color w:val="002060"/>
                <w:sz w:val="24"/>
                <w:szCs w:val="24"/>
              </w:rPr>
            </w:pPr>
            <w:r w:rsidRPr="00FE57FC">
              <w:rPr>
                <w:rFonts w:ascii="Garamond" w:hAnsi="Garamond" w:cs="Arial"/>
                <w:color w:val="002060"/>
                <w:sz w:val="24"/>
                <w:szCs w:val="24"/>
              </w:rPr>
              <w:t>União</w:t>
            </w:r>
          </w:p>
        </w:tc>
      </w:tr>
      <w:tr w:rsidR="00FE57FC" w:rsidRPr="00FE57FC" w14:paraId="507FBDBC" w14:textId="77777777" w:rsidTr="008C4EC7">
        <w:trPr>
          <w:jc w:val="center"/>
        </w:trPr>
        <w:tc>
          <w:tcPr>
            <w:tcW w:w="1886" w:type="pct"/>
            <w:vAlign w:val="center"/>
          </w:tcPr>
          <w:p w14:paraId="62048B6D" w14:textId="77777777" w:rsidR="004F7EB8" w:rsidRPr="00FE57FC" w:rsidRDefault="004425AF" w:rsidP="003048E2">
            <w:pPr>
              <w:ind w:right="34"/>
              <w:jc w:val="both"/>
              <w:rPr>
                <w:rFonts w:ascii="Garamond" w:hAnsi="Garamond" w:cs="Arial"/>
                <w:b/>
                <w:color w:val="002060"/>
                <w:sz w:val="24"/>
                <w:szCs w:val="24"/>
              </w:rPr>
            </w:pPr>
            <w:r w:rsidRPr="00FE57FC">
              <w:rPr>
                <w:rFonts w:ascii="Garamond" w:hAnsi="Garamond" w:cs="Arial"/>
                <w:b/>
                <w:color w:val="002060"/>
                <w:sz w:val="24"/>
                <w:szCs w:val="24"/>
              </w:rPr>
              <w:t xml:space="preserve">Tipo societário: </w:t>
            </w:r>
          </w:p>
        </w:tc>
        <w:tc>
          <w:tcPr>
            <w:tcW w:w="3114" w:type="pct"/>
            <w:vAlign w:val="center"/>
          </w:tcPr>
          <w:p w14:paraId="6365B939" w14:textId="77777777" w:rsidR="004F7EB8" w:rsidRPr="00FE57FC" w:rsidRDefault="004425AF" w:rsidP="003048E2">
            <w:pPr>
              <w:jc w:val="both"/>
              <w:rPr>
                <w:rFonts w:ascii="Garamond" w:hAnsi="Garamond" w:cs="Arial"/>
                <w:color w:val="002060"/>
                <w:sz w:val="24"/>
                <w:szCs w:val="24"/>
              </w:rPr>
            </w:pPr>
            <w:r w:rsidRPr="00FE57FC">
              <w:rPr>
                <w:rFonts w:ascii="Garamond" w:hAnsi="Garamond" w:cs="Arial"/>
                <w:color w:val="002060"/>
                <w:sz w:val="24"/>
                <w:szCs w:val="24"/>
              </w:rPr>
              <w:t>Sociedade Anônima</w:t>
            </w:r>
          </w:p>
        </w:tc>
      </w:tr>
      <w:tr w:rsidR="00FE57FC" w:rsidRPr="00FE57FC" w14:paraId="6FFFED45" w14:textId="77777777" w:rsidTr="008C4EC7">
        <w:trPr>
          <w:jc w:val="center"/>
        </w:trPr>
        <w:tc>
          <w:tcPr>
            <w:tcW w:w="1886" w:type="pct"/>
            <w:vAlign w:val="center"/>
          </w:tcPr>
          <w:p w14:paraId="4F9EC311" w14:textId="77777777" w:rsidR="004F7EB8" w:rsidRPr="00FE57FC" w:rsidRDefault="004425AF" w:rsidP="003048E2">
            <w:pPr>
              <w:ind w:right="34"/>
              <w:jc w:val="both"/>
              <w:rPr>
                <w:rFonts w:ascii="Garamond" w:hAnsi="Garamond" w:cs="Arial"/>
                <w:b/>
                <w:color w:val="002060"/>
                <w:sz w:val="24"/>
                <w:szCs w:val="24"/>
              </w:rPr>
            </w:pPr>
            <w:r w:rsidRPr="00FE57FC">
              <w:rPr>
                <w:rFonts w:ascii="Garamond" w:hAnsi="Garamond" w:cs="Arial"/>
                <w:b/>
                <w:color w:val="002060"/>
                <w:sz w:val="24"/>
                <w:szCs w:val="24"/>
              </w:rPr>
              <w:t xml:space="preserve">Tipo de capital: </w:t>
            </w:r>
          </w:p>
        </w:tc>
        <w:tc>
          <w:tcPr>
            <w:tcW w:w="3114" w:type="pct"/>
            <w:vAlign w:val="center"/>
          </w:tcPr>
          <w:p w14:paraId="18AE40FD" w14:textId="77777777" w:rsidR="004F7EB8" w:rsidRPr="00FE57FC" w:rsidRDefault="004425AF" w:rsidP="003048E2">
            <w:pPr>
              <w:jc w:val="both"/>
              <w:rPr>
                <w:rFonts w:ascii="Garamond" w:hAnsi="Garamond" w:cs="Arial"/>
                <w:color w:val="002060"/>
                <w:sz w:val="24"/>
                <w:szCs w:val="24"/>
              </w:rPr>
            </w:pPr>
            <w:r w:rsidRPr="00FE57FC">
              <w:rPr>
                <w:rFonts w:ascii="Garamond" w:hAnsi="Garamond" w:cs="Arial"/>
                <w:color w:val="002060"/>
                <w:sz w:val="24"/>
                <w:szCs w:val="24"/>
              </w:rPr>
              <w:t>Fechado</w:t>
            </w:r>
          </w:p>
        </w:tc>
      </w:tr>
      <w:tr w:rsidR="00FE57FC" w:rsidRPr="00FE57FC" w14:paraId="42F31143" w14:textId="77777777" w:rsidTr="008C4EC7">
        <w:trPr>
          <w:jc w:val="center"/>
        </w:trPr>
        <w:tc>
          <w:tcPr>
            <w:tcW w:w="1886" w:type="pct"/>
            <w:vAlign w:val="center"/>
          </w:tcPr>
          <w:p w14:paraId="483E5538" w14:textId="77777777" w:rsidR="004F7EB8" w:rsidRPr="00FE57FC" w:rsidRDefault="004425AF" w:rsidP="003048E2">
            <w:pPr>
              <w:ind w:right="34"/>
              <w:jc w:val="both"/>
              <w:rPr>
                <w:rFonts w:ascii="Garamond" w:hAnsi="Garamond" w:cs="Arial"/>
                <w:b/>
                <w:color w:val="002060"/>
                <w:sz w:val="24"/>
                <w:szCs w:val="24"/>
              </w:rPr>
            </w:pPr>
            <w:r w:rsidRPr="00FE57FC">
              <w:rPr>
                <w:rFonts w:ascii="Garamond" w:hAnsi="Garamond" w:cs="Arial"/>
                <w:b/>
                <w:color w:val="002060"/>
                <w:sz w:val="24"/>
                <w:szCs w:val="24"/>
              </w:rPr>
              <w:t xml:space="preserve">Abrangência de atuação: </w:t>
            </w:r>
          </w:p>
        </w:tc>
        <w:tc>
          <w:tcPr>
            <w:tcW w:w="3114" w:type="pct"/>
            <w:vAlign w:val="center"/>
          </w:tcPr>
          <w:p w14:paraId="1A582794" w14:textId="77777777" w:rsidR="004F7EB8" w:rsidRPr="00FE57FC" w:rsidRDefault="004425AF" w:rsidP="003048E2">
            <w:pPr>
              <w:jc w:val="both"/>
              <w:rPr>
                <w:rFonts w:ascii="Garamond" w:hAnsi="Garamond" w:cs="Arial"/>
                <w:color w:val="002060"/>
                <w:sz w:val="24"/>
                <w:szCs w:val="24"/>
              </w:rPr>
            </w:pPr>
            <w:r w:rsidRPr="00FE57FC">
              <w:rPr>
                <w:rFonts w:ascii="Garamond" w:hAnsi="Garamond" w:cs="Arial"/>
                <w:color w:val="002060"/>
                <w:sz w:val="24"/>
                <w:szCs w:val="24"/>
              </w:rPr>
              <w:t>Nacional e Internacional</w:t>
            </w:r>
          </w:p>
        </w:tc>
      </w:tr>
      <w:tr w:rsidR="00FE57FC" w:rsidRPr="00FE57FC" w14:paraId="628FE666" w14:textId="77777777" w:rsidTr="008C4EC7">
        <w:trPr>
          <w:jc w:val="center"/>
        </w:trPr>
        <w:tc>
          <w:tcPr>
            <w:tcW w:w="1886" w:type="pct"/>
            <w:vAlign w:val="center"/>
          </w:tcPr>
          <w:p w14:paraId="01EA0F89" w14:textId="77777777" w:rsidR="004F7EB8" w:rsidRPr="00FE57FC" w:rsidRDefault="004425AF" w:rsidP="003048E2">
            <w:pPr>
              <w:ind w:right="34"/>
              <w:jc w:val="both"/>
              <w:rPr>
                <w:rFonts w:ascii="Garamond" w:hAnsi="Garamond" w:cs="Arial"/>
                <w:b/>
                <w:color w:val="002060"/>
                <w:sz w:val="24"/>
                <w:szCs w:val="24"/>
              </w:rPr>
            </w:pPr>
            <w:r w:rsidRPr="00FE57FC">
              <w:rPr>
                <w:rFonts w:ascii="Garamond" w:hAnsi="Garamond" w:cs="Arial"/>
                <w:b/>
                <w:color w:val="002060"/>
                <w:sz w:val="24"/>
                <w:szCs w:val="24"/>
              </w:rPr>
              <w:t xml:space="preserve">Setor de atuação: </w:t>
            </w:r>
          </w:p>
        </w:tc>
        <w:tc>
          <w:tcPr>
            <w:tcW w:w="3114" w:type="pct"/>
            <w:vAlign w:val="center"/>
          </w:tcPr>
          <w:p w14:paraId="0B62A63B" w14:textId="77777777" w:rsidR="004F7EB8" w:rsidRPr="00FE57FC" w:rsidRDefault="004425AF" w:rsidP="003048E2">
            <w:pPr>
              <w:jc w:val="both"/>
              <w:rPr>
                <w:rFonts w:ascii="Garamond" w:hAnsi="Garamond" w:cs="Arial"/>
                <w:color w:val="002060"/>
                <w:sz w:val="24"/>
                <w:szCs w:val="24"/>
              </w:rPr>
            </w:pPr>
            <w:r w:rsidRPr="00FE57FC">
              <w:rPr>
                <w:rFonts w:ascii="Garamond" w:hAnsi="Garamond" w:cs="Arial"/>
                <w:color w:val="002060"/>
                <w:sz w:val="24"/>
                <w:szCs w:val="24"/>
              </w:rPr>
              <w:t>Serviços</w:t>
            </w:r>
          </w:p>
        </w:tc>
      </w:tr>
      <w:tr w:rsidR="00FE57FC" w:rsidRPr="00FE57FC" w14:paraId="5ACCFFE5" w14:textId="77777777" w:rsidTr="008C4EC7">
        <w:trPr>
          <w:jc w:val="center"/>
        </w:trPr>
        <w:tc>
          <w:tcPr>
            <w:tcW w:w="1886" w:type="pct"/>
            <w:vAlign w:val="center"/>
          </w:tcPr>
          <w:p w14:paraId="4586B408" w14:textId="77777777" w:rsidR="004F7EB8" w:rsidRPr="00FE57FC" w:rsidRDefault="004425AF" w:rsidP="003048E2">
            <w:pPr>
              <w:ind w:right="34"/>
              <w:jc w:val="both"/>
              <w:rPr>
                <w:rFonts w:ascii="Garamond" w:hAnsi="Garamond" w:cs="Arial"/>
                <w:b/>
                <w:color w:val="002060"/>
                <w:sz w:val="24"/>
                <w:szCs w:val="24"/>
              </w:rPr>
            </w:pPr>
            <w:r w:rsidRPr="00FE57FC">
              <w:rPr>
                <w:rFonts w:ascii="Garamond" w:hAnsi="Garamond" w:cs="Arial"/>
                <w:b/>
                <w:color w:val="002060"/>
                <w:sz w:val="24"/>
                <w:szCs w:val="24"/>
              </w:rPr>
              <w:t xml:space="preserve">Diretor Administrativo e Financeiro </w:t>
            </w:r>
            <w:r w:rsidR="006A2280" w:rsidRPr="00FE57FC">
              <w:rPr>
                <w:rFonts w:ascii="Garamond" w:hAnsi="Garamond" w:cs="Arial"/>
                <w:b/>
                <w:color w:val="002060"/>
                <w:sz w:val="24"/>
                <w:szCs w:val="24"/>
              </w:rPr>
              <w:t>Interino</w:t>
            </w:r>
          </w:p>
        </w:tc>
        <w:tc>
          <w:tcPr>
            <w:tcW w:w="3114" w:type="pct"/>
            <w:vAlign w:val="center"/>
          </w:tcPr>
          <w:p w14:paraId="5BB5716B" w14:textId="77777777" w:rsidR="004F7EB8" w:rsidRPr="00FE57FC" w:rsidRDefault="006A2280" w:rsidP="003048E2">
            <w:pPr>
              <w:jc w:val="both"/>
              <w:rPr>
                <w:rFonts w:ascii="Garamond" w:hAnsi="Garamond" w:cs="Arial"/>
                <w:color w:val="002060"/>
                <w:sz w:val="24"/>
                <w:szCs w:val="24"/>
              </w:rPr>
            </w:pPr>
            <w:r w:rsidRPr="00FE57FC">
              <w:rPr>
                <w:rFonts w:ascii="Garamond" w:hAnsi="Garamond" w:cs="Arial"/>
                <w:color w:val="002060"/>
                <w:sz w:val="24"/>
                <w:szCs w:val="24"/>
              </w:rPr>
              <w:t>Octávio Luiz Bromatti</w:t>
            </w:r>
          </w:p>
        </w:tc>
      </w:tr>
      <w:tr w:rsidR="00FE57FC" w:rsidRPr="00FE57FC" w14:paraId="77AA7261" w14:textId="77777777" w:rsidTr="008C4EC7">
        <w:trPr>
          <w:jc w:val="center"/>
        </w:trPr>
        <w:tc>
          <w:tcPr>
            <w:tcW w:w="1886" w:type="pct"/>
            <w:vAlign w:val="center"/>
          </w:tcPr>
          <w:p w14:paraId="0581CEDC" w14:textId="77777777" w:rsidR="004F7EB8" w:rsidRPr="00FE57FC" w:rsidRDefault="004425AF" w:rsidP="003048E2">
            <w:pPr>
              <w:ind w:right="34"/>
              <w:jc w:val="both"/>
              <w:rPr>
                <w:rFonts w:ascii="Garamond" w:hAnsi="Garamond" w:cs="Arial"/>
                <w:b/>
                <w:color w:val="002060"/>
                <w:sz w:val="24"/>
                <w:szCs w:val="24"/>
              </w:rPr>
            </w:pPr>
            <w:r w:rsidRPr="00FE57FC">
              <w:rPr>
                <w:rFonts w:ascii="Garamond" w:hAnsi="Garamond" w:cs="Arial"/>
                <w:b/>
                <w:color w:val="002060"/>
                <w:sz w:val="24"/>
                <w:szCs w:val="24"/>
              </w:rPr>
              <w:t>Auditores Independentes:</w:t>
            </w:r>
          </w:p>
        </w:tc>
        <w:tc>
          <w:tcPr>
            <w:tcW w:w="3114" w:type="pct"/>
            <w:vAlign w:val="center"/>
          </w:tcPr>
          <w:p w14:paraId="5FE97927" w14:textId="77777777" w:rsidR="004F7EB8" w:rsidRPr="000D5DCB" w:rsidRDefault="003F68F9" w:rsidP="003048E2">
            <w:pPr>
              <w:jc w:val="both"/>
              <w:rPr>
                <w:rFonts w:ascii="Garamond" w:hAnsi="Garamond" w:cs="Arial"/>
                <w:color w:val="002060"/>
                <w:sz w:val="24"/>
                <w:szCs w:val="24"/>
              </w:rPr>
            </w:pPr>
            <w:r w:rsidRPr="000D5DCB">
              <w:rPr>
                <w:rFonts w:ascii="Garamond" w:hAnsi="Garamond" w:cs="Arial"/>
                <w:color w:val="002060"/>
                <w:sz w:val="24"/>
                <w:szCs w:val="24"/>
              </w:rPr>
              <w:t>BDO RCS Auditores Independentes SS</w:t>
            </w:r>
          </w:p>
          <w:p w14:paraId="1AD9C5F4" w14:textId="3129276A" w:rsidR="00046E95" w:rsidRPr="000D5DCB" w:rsidRDefault="004425AF" w:rsidP="003048E2">
            <w:pPr>
              <w:jc w:val="both"/>
              <w:rPr>
                <w:rFonts w:ascii="Garamond" w:hAnsi="Garamond" w:cs="Arial"/>
                <w:color w:val="002060"/>
                <w:sz w:val="24"/>
                <w:szCs w:val="24"/>
              </w:rPr>
            </w:pPr>
            <w:r w:rsidRPr="000D5DCB">
              <w:rPr>
                <w:rFonts w:ascii="Garamond" w:hAnsi="Garamond" w:cs="Arial"/>
                <w:color w:val="002060"/>
                <w:sz w:val="24"/>
                <w:szCs w:val="24"/>
              </w:rPr>
              <w:t xml:space="preserve">Nome: </w:t>
            </w:r>
            <w:r w:rsidR="00F6142F" w:rsidRPr="000D5DCB">
              <w:rPr>
                <w:rFonts w:ascii="Garamond" w:hAnsi="Garamond" w:cs="Arial"/>
                <w:color w:val="002060"/>
                <w:sz w:val="24"/>
                <w:szCs w:val="24"/>
              </w:rPr>
              <w:t xml:space="preserve">Fabiano </w:t>
            </w:r>
            <w:r w:rsidR="000D5DCB" w:rsidRPr="000D5DCB">
              <w:rPr>
                <w:rFonts w:ascii="Garamond" w:hAnsi="Garamond" w:cs="Arial"/>
                <w:color w:val="002060"/>
                <w:sz w:val="24"/>
                <w:szCs w:val="24"/>
              </w:rPr>
              <w:t>de Oliveira Barbosa</w:t>
            </w:r>
          </w:p>
          <w:p w14:paraId="2F8BF3FD" w14:textId="77777777" w:rsidR="00D00648" w:rsidRPr="000D5DCB" w:rsidRDefault="004425AF" w:rsidP="003048E2">
            <w:pPr>
              <w:jc w:val="both"/>
              <w:rPr>
                <w:rFonts w:ascii="Garamond" w:hAnsi="Garamond" w:cs="Arial"/>
                <w:color w:val="002060"/>
                <w:sz w:val="24"/>
                <w:szCs w:val="24"/>
              </w:rPr>
            </w:pPr>
            <w:r w:rsidRPr="000D5DCB">
              <w:rPr>
                <w:rFonts w:ascii="Garamond" w:hAnsi="Garamond" w:cs="Arial"/>
                <w:color w:val="002060"/>
                <w:sz w:val="24"/>
                <w:szCs w:val="24"/>
              </w:rPr>
              <w:t>Telefone: (</w:t>
            </w:r>
            <w:r w:rsidR="003F68F9" w:rsidRPr="000D5DCB">
              <w:rPr>
                <w:rFonts w:ascii="Garamond" w:hAnsi="Garamond" w:cs="Arial"/>
                <w:color w:val="002060"/>
                <w:sz w:val="24"/>
                <w:szCs w:val="24"/>
              </w:rPr>
              <w:t>61</w:t>
            </w:r>
            <w:r w:rsidRPr="000D5DCB">
              <w:rPr>
                <w:rFonts w:ascii="Garamond" w:hAnsi="Garamond" w:cs="Arial"/>
                <w:color w:val="002060"/>
                <w:sz w:val="24"/>
                <w:szCs w:val="24"/>
              </w:rPr>
              <w:t xml:space="preserve">) </w:t>
            </w:r>
            <w:r w:rsidR="003F68F9" w:rsidRPr="000D5DCB">
              <w:rPr>
                <w:rFonts w:ascii="Garamond" w:hAnsi="Garamond" w:cs="Arial"/>
                <w:color w:val="002060"/>
                <w:sz w:val="24"/>
                <w:szCs w:val="24"/>
              </w:rPr>
              <w:t>3322-5190</w:t>
            </w:r>
          </w:p>
          <w:p w14:paraId="271BFC4A" w14:textId="77777777" w:rsidR="00046E95" w:rsidRPr="000D5DCB" w:rsidRDefault="004425AF" w:rsidP="003F68F9">
            <w:pPr>
              <w:jc w:val="both"/>
              <w:rPr>
                <w:rFonts w:ascii="Garamond" w:hAnsi="Garamond" w:cs="Arial"/>
                <w:color w:val="002060"/>
                <w:sz w:val="24"/>
                <w:szCs w:val="24"/>
              </w:rPr>
            </w:pPr>
            <w:r w:rsidRPr="000D5DCB">
              <w:rPr>
                <w:rFonts w:ascii="Garamond" w:hAnsi="Garamond" w:cs="Arial"/>
                <w:color w:val="002060"/>
                <w:sz w:val="24"/>
                <w:szCs w:val="24"/>
              </w:rPr>
              <w:t xml:space="preserve">e-mail: </w:t>
            </w:r>
            <w:r w:rsidR="003F68F9" w:rsidRPr="000D5DCB">
              <w:rPr>
                <w:rFonts w:ascii="Garamond" w:hAnsi="Garamond" w:cs="Arial"/>
                <w:color w:val="002060"/>
                <w:sz w:val="24"/>
                <w:szCs w:val="24"/>
              </w:rPr>
              <w:t>brasilia</w:t>
            </w:r>
            <w:r w:rsidRPr="000D5DCB">
              <w:rPr>
                <w:rFonts w:ascii="Garamond" w:hAnsi="Garamond" w:cs="Arial"/>
                <w:color w:val="002060"/>
                <w:sz w:val="24"/>
                <w:szCs w:val="24"/>
              </w:rPr>
              <w:t>@</w:t>
            </w:r>
            <w:r w:rsidR="003F68F9" w:rsidRPr="000D5DCB">
              <w:rPr>
                <w:rFonts w:ascii="Garamond" w:hAnsi="Garamond" w:cs="Arial"/>
                <w:color w:val="002060"/>
                <w:sz w:val="24"/>
                <w:szCs w:val="24"/>
              </w:rPr>
              <w:t>bdo.com.br</w:t>
            </w:r>
          </w:p>
        </w:tc>
      </w:tr>
      <w:tr w:rsidR="00FE57FC" w:rsidRPr="00FE57FC" w14:paraId="2ABC6CAC" w14:textId="77777777" w:rsidTr="008C4EC7">
        <w:trPr>
          <w:jc w:val="center"/>
        </w:trPr>
        <w:tc>
          <w:tcPr>
            <w:tcW w:w="1886" w:type="pct"/>
            <w:vAlign w:val="center"/>
          </w:tcPr>
          <w:p w14:paraId="60F2E8B9" w14:textId="5687749E" w:rsidR="004F7EB8" w:rsidRPr="00FE57FC" w:rsidRDefault="004425AF" w:rsidP="003048E2">
            <w:pPr>
              <w:ind w:right="34"/>
              <w:jc w:val="both"/>
              <w:rPr>
                <w:rFonts w:ascii="Garamond" w:hAnsi="Garamond" w:cs="Arial"/>
                <w:b/>
                <w:color w:val="002060"/>
                <w:sz w:val="24"/>
                <w:szCs w:val="24"/>
              </w:rPr>
            </w:pPr>
            <w:r w:rsidRPr="00FE57FC">
              <w:rPr>
                <w:rFonts w:ascii="Garamond" w:hAnsi="Garamond" w:cs="Arial"/>
                <w:b/>
                <w:color w:val="002060"/>
                <w:sz w:val="24"/>
                <w:szCs w:val="24"/>
              </w:rPr>
              <w:t>Conselheiros de Administração:</w:t>
            </w:r>
          </w:p>
        </w:tc>
        <w:tc>
          <w:tcPr>
            <w:tcW w:w="3114" w:type="pct"/>
            <w:vAlign w:val="center"/>
          </w:tcPr>
          <w:p w14:paraId="61D6FA37" w14:textId="77777777" w:rsidR="004F7EB8" w:rsidRPr="00FE57FC" w:rsidRDefault="003F68F9" w:rsidP="003048E2">
            <w:pPr>
              <w:jc w:val="both"/>
              <w:rPr>
                <w:rFonts w:ascii="Garamond" w:hAnsi="Garamond" w:cs="Arial"/>
                <w:color w:val="002060"/>
                <w:sz w:val="24"/>
                <w:szCs w:val="24"/>
              </w:rPr>
            </w:pPr>
            <w:r w:rsidRPr="00FE57FC">
              <w:rPr>
                <w:rFonts w:ascii="Garamond" w:hAnsi="Garamond" w:cs="Arial"/>
                <w:color w:val="002060"/>
                <w:sz w:val="24"/>
                <w:szCs w:val="24"/>
              </w:rPr>
              <w:t>Diogo Mac Cord de Faria</w:t>
            </w:r>
          </w:p>
          <w:p w14:paraId="0F49F73C" w14:textId="77777777" w:rsidR="00D00648" w:rsidRPr="00FE57FC" w:rsidRDefault="004425AF" w:rsidP="003048E2">
            <w:pPr>
              <w:jc w:val="both"/>
              <w:rPr>
                <w:rFonts w:ascii="Garamond" w:hAnsi="Garamond" w:cs="Arial"/>
                <w:color w:val="002060"/>
                <w:sz w:val="24"/>
                <w:szCs w:val="24"/>
              </w:rPr>
            </w:pPr>
            <w:r w:rsidRPr="00FE57FC">
              <w:rPr>
                <w:rFonts w:ascii="Garamond" w:hAnsi="Garamond" w:cs="Arial"/>
                <w:color w:val="002060"/>
                <w:sz w:val="24"/>
                <w:szCs w:val="24"/>
              </w:rPr>
              <w:t>Pedro Maciel Capeluppi</w:t>
            </w:r>
          </w:p>
          <w:p w14:paraId="239E77D0" w14:textId="77777777" w:rsidR="00D00648" w:rsidRPr="00FE57FC" w:rsidRDefault="00927C27" w:rsidP="003048E2">
            <w:pPr>
              <w:jc w:val="both"/>
              <w:rPr>
                <w:rFonts w:ascii="Garamond" w:hAnsi="Garamond" w:cs="Arial"/>
                <w:color w:val="002060"/>
                <w:sz w:val="24"/>
                <w:szCs w:val="24"/>
              </w:rPr>
            </w:pPr>
            <w:r w:rsidRPr="00FE57FC">
              <w:rPr>
                <w:rFonts w:ascii="Garamond" w:hAnsi="Garamond" w:cs="Arial"/>
                <w:color w:val="002060"/>
                <w:sz w:val="24"/>
                <w:szCs w:val="24"/>
              </w:rPr>
              <w:t>Danilo Soares</w:t>
            </w:r>
            <w:r w:rsidR="00293FF1" w:rsidRPr="00FE57FC">
              <w:rPr>
                <w:rFonts w:ascii="Garamond" w:hAnsi="Garamond" w:cs="Arial"/>
                <w:color w:val="002060"/>
                <w:sz w:val="24"/>
                <w:szCs w:val="24"/>
              </w:rPr>
              <w:t xml:space="preserve"> Pacheco de Medeiros</w:t>
            </w:r>
          </w:p>
          <w:p w14:paraId="11673730" w14:textId="77777777" w:rsidR="00D00648" w:rsidRPr="00FE57FC" w:rsidRDefault="004425AF" w:rsidP="003048E2">
            <w:pPr>
              <w:jc w:val="both"/>
              <w:rPr>
                <w:rFonts w:ascii="Garamond" w:hAnsi="Garamond" w:cs="Arial"/>
                <w:color w:val="002060"/>
                <w:sz w:val="24"/>
                <w:szCs w:val="24"/>
              </w:rPr>
            </w:pPr>
            <w:r w:rsidRPr="00FE57FC">
              <w:rPr>
                <w:rFonts w:ascii="Garamond" w:hAnsi="Garamond" w:cs="Arial"/>
                <w:color w:val="002060"/>
                <w:sz w:val="24"/>
                <w:szCs w:val="24"/>
              </w:rPr>
              <w:t>Fabiana Vieira Lima</w:t>
            </w:r>
          </w:p>
          <w:p w14:paraId="3FBCF0FF" w14:textId="77777777" w:rsidR="00D00648" w:rsidRPr="00FE57FC" w:rsidRDefault="00293FF1" w:rsidP="003048E2">
            <w:pPr>
              <w:jc w:val="both"/>
              <w:rPr>
                <w:rFonts w:ascii="Garamond" w:hAnsi="Garamond" w:cs="Arial"/>
                <w:color w:val="002060"/>
                <w:sz w:val="24"/>
                <w:szCs w:val="24"/>
              </w:rPr>
            </w:pPr>
            <w:r w:rsidRPr="00FE57FC">
              <w:rPr>
                <w:rFonts w:ascii="Garamond" w:hAnsi="Garamond" w:cs="Arial"/>
                <w:color w:val="002060"/>
                <w:sz w:val="24"/>
                <w:szCs w:val="24"/>
              </w:rPr>
              <w:t>Rafael Bicca Machado</w:t>
            </w:r>
          </w:p>
          <w:p w14:paraId="4E764831" w14:textId="77777777" w:rsidR="00116BA1" w:rsidRPr="00FE57FC" w:rsidRDefault="003F68F9" w:rsidP="003048E2">
            <w:pPr>
              <w:jc w:val="both"/>
              <w:rPr>
                <w:rFonts w:ascii="Garamond" w:hAnsi="Garamond" w:cs="Arial"/>
                <w:color w:val="002060"/>
                <w:sz w:val="24"/>
                <w:szCs w:val="24"/>
              </w:rPr>
            </w:pPr>
            <w:r w:rsidRPr="00FE57FC">
              <w:rPr>
                <w:rFonts w:ascii="Garamond" w:hAnsi="Garamond" w:cs="Arial"/>
                <w:color w:val="002060"/>
                <w:sz w:val="24"/>
                <w:szCs w:val="24"/>
              </w:rPr>
              <w:t>Octávio Luiz Bromatti</w:t>
            </w:r>
          </w:p>
        </w:tc>
      </w:tr>
      <w:tr w:rsidR="004B1E9D" w:rsidRPr="00FE57FC" w14:paraId="1E648447" w14:textId="77777777" w:rsidTr="008C4EC7">
        <w:trPr>
          <w:jc w:val="center"/>
        </w:trPr>
        <w:tc>
          <w:tcPr>
            <w:tcW w:w="1886" w:type="pct"/>
            <w:vAlign w:val="center"/>
          </w:tcPr>
          <w:p w14:paraId="19A1D967" w14:textId="63BBAE4B" w:rsidR="004F7EB8" w:rsidRPr="00FE57FC" w:rsidRDefault="004425AF" w:rsidP="003048E2">
            <w:pPr>
              <w:ind w:right="34"/>
              <w:jc w:val="both"/>
              <w:rPr>
                <w:rFonts w:ascii="Garamond" w:hAnsi="Garamond" w:cs="Arial"/>
                <w:b/>
                <w:color w:val="002060"/>
                <w:sz w:val="24"/>
                <w:szCs w:val="24"/>
              </w:rPr>
            </w:pPr>
            <w:r w:rsidRPr="00FE57FC">
              <w:rPr>
                <w:rFonts w:ascii="Garamond" w:hAnsi="Garamond" w:cs="Arial"/>
                <w:b/>
                <w:color w:val="002060"/>
                <w:sz w:val="24"/>
                <w:szCs w:val="24"/>
              </w:rPr>
              <w:t xml:space="preserve">Administradores: </w:t>
            </w:r>
          </w:p>
        </w:tc>
        <w:tc>
          <w:tcPr>
            <w:tcW w:w="3114" w:type="pct"/>
            <w:vAlign w:val="center"/>
          </w:tcPr>
          <w:p w14:paraId="711E12DD" w14:textId="77777777" w:rsidR="003F68F9" w:rsidRPr="00FE57FC" w:rsidRDefault="003F68F9" w:rsidP="003048E2">
            <w:pPr>
              <w:jc w:val="both"/>
              <w:rPr>
                <w:rFonts w:ascii="Garamond" w:hAnsi="Garamond" w:cs="Arial"/>
                <w:color w:val="002060"/>
                <w:sz w:val="24"/>
                <w:szCs w:val="24"/>
              </w:rPr>
            </w:pPr>
            <w:r w:rsidRPr="00FE57FC">
              <w:rPr>
                <w:rFonts w:ascii="Garamond" w:hAnsi="Garamond" w:cs="Arial"/>
                <w:color w:val="002060"/>
                <w:sz w:val="24"/>
                <w:szCs w:val="24"/>
              </w:rPr>
              <w:t xml:space="preserve">Octávio Luiz Bromatti </w:t>
            </w:r>
          </w:p>
          <w:p w14:paraId="29C6AF4F" w14:textId="77777777" w:rsidR="00046E95" w:rsidRPr="00FE57FC" w:rsidRDefault="004425AF" w:rsidP="003048E2">
            <w:pPr>
              <w:jc w:val="both"/>
              <w:rPr>
                <w:rFonts w:ascii="Garamond" w:hAnsi="Garamond" w:cs="Arial"/>
                <w:color w:val="002060"/>
                <w:sz w:val="24"/>
                <w:szCs w:val="24"/>
              </w:rPr>
            </w:pPr>
            <w:r w:rsidRPr="00FE57FC">
              <w:rPr>
                <w:rFonts w:ascii="Garamond" w:hAnsi="Garamond" w:cs="Arial"/>
                <w:color w:val="002060"/>
                <w:sz w:val="24"/>
                <w:szCs w:val="24"/>
              </w:rPr>
              <w:t>Cargo: Diretor Presidente</w:t>
            </w:r>
            <w:r w:rsidR="006A2280" w:rsidRPr="00FE57FC">
              <w:rPr>
                <w:rFonts w:ascii="Garamond" w:hAnsi="Garamond" w:cs="Arial"/>
                <w:color w:val="002060"/>
                <w:sz w:val="24"/>
                <w:szCs w:val="24"/>
              </w:rPr>
              <w:t xml:space="preserve"> e </w:t>
            </w:r>
            <w:r w:rsidRPr="00FE57FC">
              <w:rPr>
                <w:rFonts w:ascii="Garamond" w:hAnsi="Garamond" w:cs="Arial"/>
                <w:color w:val="002060"/>
                <w:sz w:val="24"/>
                <w:szCs w:val="24"/>
              </w:rPr>
              <w:t>Diretor Administrativo Financeiro</w:t>
            </w:r>
            <w:r w:rsidR="006A2280" w:rsidRPr="00FE57FC">
              <w:rPr>
                <w:rFonts w:ascii="Garamond" w:hAnsi="Garamond" w:cs="Arial"/>
                <w:color w:val="002060"/>
                <w:sz w:val="24"/>
                <w:szCs w:val="24"/>
              </w:rPr>
              <w:t xml:space="preserve"> Interino</w:t>
            </w:r>
          </w:p>
          <w:p w14:paraId="46402977" w14:textId="77777777" w:rsidR="00D00648" w:rsidRPr="00FE57FC" w:rsidRDefault="004425AF" w:rsidP="003048E2">
            <w:pPr>
              <w:jc w:val="both"/>
              <w:rPr>
                <w:rFonts w:ascii="Garamond" w:hAnsi="Garamond" w:cs="Arial"/>
                <w:color w:val="002060"/>
                <w:sz w:val="24"/>
                <w:szCs w:val="24"/>
              </w:rPr>
            </w:pPr>
            <w:r w:rsidRPr="00FE57FC">
              <w:rPr>
                <w:rFonts w:ascii="Garamond" w:hAnsi="Garamond" w:cs="Arial"/>
                <w:color w:val="002060"/>
                <w:sz w:val="24"/>
                <w:szCs w:val="24"/>
              </w:rPr>
              <w:t>Helena Mulim Venceslau</w:t>
            </w:r>
          </w:p>
          <w:p w14:paraId="268383D0" w14:textId="77777777" w:rsidR="00046E95" w:rsidRPr="00FE57FC" w:rsidRDefault="004425AF" w:rsidP="003F68F9">
            <w:pPr>
              <w:jc w:val="both"/>
              <w:rPr>
                <w:rFonts w:ascii="Garamond" w:hAnsi="Garamond" w:cs="Arial"/>
                <w:color w:val="002060"/>
                <w:sz w:val="24"/>
                <w:szCs w:val="24"/>
              </w:rPr>
            </w:pPr>
            <w:r w:rsidRPr="00FE57FC">
              <w:rPr>
                <w:rFonts w:ascii="Garamond" w:hAnsi="Garamond" w:cs="Arial"/>
                <w:color w:val="002060"/>
                <w:sz w:val="24"/>
                <w:szCs w:val="24"/>
              </w:rPr>
              <w:t xml:space="preserve">Cargo: Diretora de </w:t>
            </w:r>
            <w:r w:rsidR="003F68F9" w:rsidRPr="00FE57FC">
              <w:rPr>
                <w:rFonts w:ascii="Garamond" w:hAnsi="Garamond" w:cs="Arial"/>
                <w:color w:val="002060"/>
                <w:sz w:val="24"/>
                <w:szCs w:val="24"/>
              </w:rPr>
              <w:t>Garantias</w:t>
            </w:r>
          </w:p>
        </w:tc>
      </w:tr>
    </w:tbl>
    <w:p w14:paraId="113356BC" w14:textId="77777777" w:rsidR="00B92C2C" w:rsidRPr="00FE57FC" w:rsidRDefault="00B92C2C" w:rsidP="003048E2">
      <w:pPr>
        <w:spacing w:before="120" w:after="120" w:line="240" w:lineRule="auto"/>
        <w:jc w:val="both"/>
        <w:rPr>
          <w:rFonts w:ascii="Garamond" w:hAnsi="Garamond" w:cs="Arial"/>
          <w:color w:val="002060"/>
          <w:sz w:val="24"/>
          <w:szCs w:val="24"/>
        </w:rPr>
      </w:pPr>
    </w:p>
    <w:p w14:paraId="799333F3" w14:textId="77777777" w:rsidR="00BF2110" w:rsidRPr="00FE57FC" w:rsidRDefault="00BF2110" w:rsidP="003048E2">
      <w:pPr>
        <w:spacing w:before="120" w:after="120" w:line="240" w:lineRule="auto"/>
        <w:jc w:val="both"/>
        <w:rPr>
          <w:rFonts w:ascii="Garamond" w:hAnsi="Garamond" w:cs="Arial"/>
          <w:color w:val="002060"/>
          <w:sz w:val="24"/>
          <w:szCs w:val="24"/>
        </w:rPr>
      </w:pPr>
      <w:bookmarkStart w:id="0" w:name="_GoBack"/>
      <w:bookmarkEnd w:id="0"/>
    </w:p>
    <w:p w14:paraId="1F3CE053" w14:textId="77777777" w:rsidR="00BF2110" w:rsidRPr="00FE57FC" w:rsidRDefault="00BF2110" w:rsidP="003048E2">
      <w:pPr>
        <w:spacing w:before="120" w:after="120" w:line="240" w:lineRule="auto"/>
        <w:jc w:val="both"/>
        <w:rPr>
          <w:rFonts w:ascii="Garamond" w:hAnsi="Garamond" w:cs="Arial"/>
          <w:color w:val="002060"/>
          <w:sz w:val="24"/>
          <w:szCs w:val="24"/>
        </w:rPr>
      </w:pPr>
    </w:p>
    <w:p w14:paraId="7D768B1E" w14:textId="79A0AB81" w:rsidR="004D041E" w:rsidRPr="00FE57FC" w:rsidRDefault="004425AF" w:rsidP="003048E2">
      <w:pPr>
        <w:spacing w:before="120" w:after="120" w:line="240" w:lineRule="auto"/>
        <w:jc w:val="both"/>
        <w:rPr>
          <w:rFonts w:ascii="Garamond" w:hAnsi="Garamond" w:cs="Arial"/>
          <w:b/>
          <w:color w:val="002060"/>
          <w:sz w:val="24"/>
          <w:szCs w:val="24"/>
        </w:rPr>
      </w:pPr>
      <w:r w:rsidRPr="00FE57FC">
        <w:rPr>
          <w:rFonts w:ascii="Garamond" w:hAnsi="Garamond" w:cs="Arial"/>
          <w:b/>
          <w:color w:val="002060"/>
          <w:sz w:val="24"/>
          <w:szCs w:val="24"/>
        </w:rPr>
        <w:t xml:space="preserve">Data de </w:t>
      </w:r>
      <w:r w:rsidR="00BF2110" w:rsidRPr="00FE57FC">
        <w:rPr>
          <w:rFonts w:ascii="Garamond" w:hAnsi="Garamond" w:cs="Arial"/>
          <w:b/>
          <w:color w:val="002060"/>
          <w:sz w:val="24"/>
          <w:szCs w:val="24"/>
        </w:rPr>
        <w:t>Publicação</w:t>
      </w:r>
      <w:r w:rsidRPr="00FE57FC">
        <w:rPr>
          <w:rFonts w:ascii="Garamond" w:hAnsi="Garamond" w:cs="Arial"/>
          <w:b/>
          <w:color w:val="002060"/>
          <w:sz w:val="24"/>
          <w:szCs w:val="24"/>
        </w:rPr>
        <w:t xml:space="preserve">: </w:t>
      </w:r>
      <w:r w:rsidR="00065537">
        <w:rPr>
          <w:rFonts w:ascii="Garamond" w:hAnsi="Garamond" w:cs="Arial"/>
          <w:b/>
          <w:color w:val="002060"/>
          <w:sz w:val="24"/>
          <w:szCs w:val="24"/>
        </w:rPr>
        <w:t>30.04.2021</w:t>
      </w:r>
      <w:r w:rsidR="003A5CC8" w:rsidRPr="00FE57FC">
        <w:rPr>
          <w:rFonts w:ascii="Garamond" w:hAnsi="Garamond" w:cs="Arial"/>
          <w:b/>
          <w:color w:val="002060"/>
          <w:sz w:val="24"/>
          <w:szCs w:val="24"/>
        </w:rPr>
        <w:t xml:space="preserve"> </w:t>
      </w:r>
    </w:p>
    <w:p w14:paraId="47C3FC3A" w14:textId="77777777" w:rsidR="00046E95" w:rsidRPr="00FE57FC" w:rsidRDefault="004B1E9D" w:rsidP="004B1E9D">
      <w:pPr>
        <w:pageBreakBefore/>
        <w:spacing w:before="120" w:after="120" w:line="240" w:lineRule="auto"/>
        <w:jc w:val="center"/>
        <w:rPr>
          <w:rFonts w:ascii="Garamond" w:hAnsi="Garamond" w:cs="Arial"/>
          <w:b/>
          <w:color w:val="002060"/>
          <w:sz w:val="28"/>
          <w:szCs w:val="28"/>
        </w:rPr>
      </w:pPr>
      <w:r w:rsidRPr="00FE57FC">
        <w:rPr>
          <w:rFonts w:ascii="Garamond" w:hAnsi="Garamond" w:cs="Arial"/>
          <w:b/>
          <w:color w:val="002060"/>
          <w:sz w:val="28"/>
          <w:szCs w:val="28"/>
        </w:rPr>
        <w:lastRenderedPageBreak/>
        <w:t xml:space="preserve">POLÍTICAS PÚBLICAS E </w:t>
      </w:r>
      <w:r w:rsidR="004425AF" w:rsidRPr="00FE57FC">
        <w:rPr>
          <w:rFonts w:ascii="Garamond" w:hAnsi="Garamond" w:cs="Arial"/>
          <w:b/>
          <w:color w:val="002060"/>
          <w:sz w:val="28"/>
          <w:szCs w:val="28"/>
        </w:rPr>
        <w:t xml:space="preserve">GOVERNANÇA </w:t>
      </w:r>
      <w:r w:rsidRPr="00FE57FC">
        <w:rPr>
          <w:rFonts w:ascii="Garamond" w:hAnsi="Garamond" w:cs="Arial"/>
          <w:b/>
          <w:color w:val="002060"/>
          <w:sz w:val="28"/>
          <w:szCs w:val="28"/>
        </w:rPr>
        <w:t>CORPORATIVA</w:t>
      </w:r>
    </w:p>
    <w:p w14:paraId="44B02080" w14:textId="77777777" w:rsidR="003A5CC8" w:rsidRPr="00FE57FC" w:rsidRDefault="003A5CC8" w:rsidP="003048E2">
      <w:pPr>
        <w:spacing w:before="120" w:after="120" w:line="240" w:lineRule="auto"/>
        <w:jc w:val="both"/>
        <w:rPr>
          <w:rFonts w:ascii="Garamond" w:hAnsi="Garamond" w:cs="Arial"/>
          <w:color w:val="002060"/>
          <w:sz w:val="24"/>
          <w:szCs w:val="24"/>
        </w:rPr>
      </w:pPr>
    </w:p>
    <w:p w14:paraId="33DBA9C4" w14:textId="77777777" w:rsidR="00046E95" w:rsidRPr="00FE57FC" w:rsidRDefault="004425AF" w:rsidP="00F20193">
      <w:pPr>
        <w:spacing w:before="120" w:after="120"/>
        <w:jc w:val="both"/>
        <w:rPr>
          <w:rFonts w:ascii="Garamond" w:hAnsi="Garamond" w:cs="Arial"/>
          <w:color w:val="002060"/>
          <w:sz w:val="24"/>
          <w:szCs w:val="24"/>
        </w:rPr>
      </w:pPr>
      <w:r w:rsidRPr="00FE57FC">
        <w:rPr>
          <w:rFonts w:ascii="Garamond" w:hAnsi="Garamond" w:cs="Arial"/>
          <w:color w:val="002060"/>
          <w:sz w:val="24"/>
          <w:szCs w:val="24"/>
        </w:rPr>
        <w:t>A Lei nº 13.303/2016, em seu art. 8º, inciso I, exige a elaboração de “</w:t>
      </w:r>
      <w:r w:rsidRPr="00FE57FC">
        <w:rPr>
          <w:rFonts w:ascii="Garamond" w:hAnsi="Garamond" w:cs="Arial"/>
          <w:i/>
          <w:color w:val="002060"/>
          <w:sz w:val="24"/>
          <w:szCs w:val="24"/>
        </w:rPr>
        <w:t>carta anual, subscrita pelos membros do Conselho de Administração, com a explicitação dos compromissos de consecução de objetivos de políticas públicas pela empresa pública, pela sociedade de economia mista e por suas subsidiárias, em atendimento ao interesse coletivo ou ao imperativo de segurança nacional que justificou a autorização para suas respectivas criações, com definição clara dos recursos a serem empregados para esse fim, bem como dos impactos econômico-financeiros da consecução desses objetivos, mensuráveis por meio de indicadores objetivos</w:t>
      </w:r>
      <w:r w:rsidRPr="00FE57FC">
        <w:rPr>
          <w:rFonts w:ascii="Garamond" w:hAnsi="Garamond" w:cs="Arial"/>
          <w:color w:val="002060"/>
          <w:sz w:val="24"/>
          <w:szCs w:val="24"/>
        </w:rPr>
        <w:t>”. Essas informações estão detalhadas a seguir.</w:t>
      </w:r>
    </w:p>
    <w:p w14:paraId="0D0C80D3" w14:textId="77777777" w:rsidR="003A5CC8" w:rsidRPr="00FE57FC" w:rsidRDefault="003A5CC8" w:rsidP="00F20193">
      <w:pPr>
        <w:spacing w:before="120" w:after="120"/>
        <w:jc w:val="both"/>
        <w:rPr>
          <w:rFonts w:ascii="Garamond" w:hAnsi="Garamond" w:cs="Arial"/>
          <w:color w:val="002060"/>
          <w:sz w:val="24"/>
          <w:szCs w:val="24"/>
        </w:rPr>
      </w:pPr>
    </w:p>
    <w:p w14:paraId="33B6D01B" w14:textId="77777777" w:rsidR="00046E95" w:rsidRPr="00FE57FC" w:rsidRDefault="004425AF" w:rsidP="00F20193">
      <w:pPr>
        <w:spacing w:before="120" w:after="120"/>
        <w:jc w:val="both"/>
        <w:rPr>
          <w:rFonts w:ascii="Garamond" w:hAnsi="Garamond" w:cs="Arial"/>
          <w:b/>
          <w:color w:val="002060"/>
          <w:sz w:val="24"/>
          <w:szCs w:val="24"/>
        </w:rPr>
      </w:pPr>
      <w:r w:rsidRPr="00FE57FC">
        <w:rPr>
          <w:rFonts w:ascii="Garamond" w:hAnsi="Garamond" w:cs="Arial"/>
          <w:b/>
          <w:color w:val="002060"/>
          <w:sz w:val="24"/>
          <w:szCs w:val="24"/>
        </w:rPr>
        <w:t>1. Interesse público subjacente às atividades empresariais</w:t>
      </w:r>
    </w:p>
    <w:p w14:paraId="075A7128" w14:textId="77777777" w:rsidR="00243E42" w:rsidRPr="00FE57FC" w:rsidRDefault="004425AF" w:rsidP="00F20193">
      <w:pPr>
        <w:spacing w:before="120" w:after="120"/>
        <w:jc w:val="both"/>
        <w:rPr>
          <w:rFonts w:ascii="Garamond" w:hAnsi="Garamond" w:cs="Arial"/>
          <w:color w:val="002060"/>
          <w:sz w:val="24"/>
          <w:szCs w:val="24"/>
        </w:rPr>
      </w:pPr>
      <w:r w:rsidRPr="00FE57FC">
        <w:rPr>
          <w:rFonts w:ascii="Garamond" w:hAnsi="Garamond" w:cs="Arial"/>
          <w:color w:val="002060"/>
          <w:sz w:val="24"/>
          <w:szCs w:val="24"/>
        </w:rPr>
        <w:t xml:space="preserve">De acordo com os artigos </w:t>
      </w:r>
      <w:r w:rsidR="00621601" w:rsidRPr="00FE57FC">
        <w:rPr>
          <w:rFonts w:ascii="Garamond" w:hAnsi="Garamond" w:cs="Arial"/>
          <w:color w:val="002060"/>
          <w:sz w:val="24"/>
          <w:szCs w:val="24"/>
        </w:rPr>
        <w:t xml:space="preserve">33, </w:t>
      </w:r>
      <w:r w:rsidRPr="00FE57FC">
        <w:rPr>
          <w:rFonts w:ascii="Garamond" w:hAnsi="Garamond" w:cs="Arial"/>
          <w:color w:val="002060"/>
          <w:sz w:val="24"/>
          <w:szCs w:val="24"/>
        </w:rPr>
        <w:t>38 e 57 da Lei nº 12.712, de 30</w:t>
      </w:r>
      <w:r w:rsidR="00952C2C" w:rsidRPr="00FE57FC">
        <w:rPr>
          <w:rFonts w:ascii="Garamond" w:hAnsi="Garamond" w:cs="Arial"/>
          <w:color w:val="002060"/>
          <w:sz w:val="24"/>
          <w:szCs w:val="24"/>
        </w:rPr>
        <w:t>/</w:t>
      </w:r>
      <w:r w:rsidRPr="00FE57FC">
        <w:rPr>
          <w:rFonts w:ascii="Garamond" w:hAnsi="Garamond" w:cs="Arial"/>
          <w:color w:val="002060"/>
          <w:sz w:val="24"/>
          <w:szCs w:val="24"/>
        </w:rPr>
        <w:t>08</w:t>
      </w:r>
      <w:r w:rsidR="00952C2C" w:rsidRPr="00FE57FC">
        <w:rPr>
          <w:rFonts w:ascii="Garamond" w:hAnsi="Garamond" w:cs="Arial"/>
          <w:color w:val="002060"/>
          <w:sz w:val="24"/>
          <w:szCs w:val="24"/>
        </w:rPr>
        <w:t>/</w:t>
      </w:r>
      <w:r w:rsidRPr="00FE57FC">
        <w:rPr>
          <w:rFonts w:ascii="Garamond" w:hAnsi="Garamond" w:cs="Arial"/>
          <w:color w:val="002060"/>
          <w:sz w:val="24"/>
          <w:szCs w:val="24"/>
        </w:rPr>
        <w:t xml:space="preserve">2012, a ABGF tem por objeto: </w:t>
      </w:r>
    </w:p>
    <w:p w14:paraId="33B3BABD" w14:textId="77777777" w:rsidR="00243E42" w:rsidRPr="00FE57FC" w:rsidRDefault="004425AF" w:rsidP="00F20193">
      <w:pPr>
        <w:spacing w:before="120" w:after="120"/>
        <w:jc w:val="both"/>
        <w:rPr>
          <w:rFonts w:ascii="Garamond" w:eastAsia="Times New Roman" w:hAnsi="Garamond" w:cs="Arial"/>
          <w:color w:val="002060"/>
          <w:sz w:val="24"/>
          <w:szCs w:val="24"/>
          <w:lang w:eastAsia="pt-BR"/>
        </w:rPr>
      </w:pPr>
      <w:bookmarkStart w:id="1" w:name="art38i"/>
      <w:bookmarkEnd w:id="1"/>
      <w:r w:rsidRPr="00FE57FC">
        <w:rPr>
          <w:rFonts w:ascii="Garamond" w:eastAsia="Times New Roman" w:hAnsi="Garamond" w:cs="Arial"/>
          <w:color w:val="002060"/>
          <w:sz w:val="24"/>
          <w:szCs w:val="24"/>
          <w:lang w:eastAsia="pt-BR"/>
        </w:rPr>
        <w:t>I – a concessão de garantias contra riscos:</w:t>
      </w:r>
    </w:p>
    <w:p w14:paraId="110FA8C6" w14:textId="77777777" w:rsidR="00243E42" w:rsidRPr="00FE57FC" w:rsidRDefault="004425AF" w:rsidP="00F20193">
      <w:pPr>
        <w:spacing w:before="120" w:after="120"/>
        <w:ind w:left="284"/>
        <w:jc w:val="both"/>
        <w:rPr>
          <w:rFonts w:ascii="Garamond" w:eastAsia="Times New Roman" w:hAnsi="Garamond" w:cs="Arial"/>
          <w:color w:val="002060"/>
          <w:sz w:val="24"/>
          <w:szCs w:val="24"/>
          <w:lang w:eastAsia="pt-BR"/>
        </w:rPr>
      </w:pPr>
      <w:bookmarkStart w:id="2" w:name="art38ia"/>
      <w:bookmarkEnd w:id="2"/>
      <w:r w:rsidRPr="00FE57FC">
        <w:rPr>
          <w:rFonts w:ascii="Garamond" w:eastAsia="Times New Roman" w:hAnsi="Garamond" w:cs="Arial"/>
          <w:color w:val="002060"/>
          <w:sz w:val="24"/>
          <w:szCs w:val="24"/>
          <w:lang w:eastAsia="pt-BR"/>
        </w:rPr>
        <w:t>a) de morte e invalidez permanente (MIP) do mutuário, em operações de crédito habitacional no âmbito de programas ou instituições oficiais;</w:t>
      </w:r>
    </w:p>
    <w:p w14:paraId="20CA6BAE" w14:textId="77777777" w:rsidR="00243E42" w:rsidRPr="00FE57FC" w:rsidRDefault="004425AF" w:rsidP="00F20193">
      <w:pPr>
        <w:spacing w:before="120" w:after="120"/>
        <w:ind w:left="284"/>
        <w:jc w:val="both"/>
        <w:rPr>
          <w:rFonts w:ascii="Garamond" w:eastAsia="Times New Roman" w:hAnsi="Garamond" w:cs="Arial"/>
          <w:color w:val="002060"/>
          <w:sz w:val="24"/>
          <w:szCs w:val="24"/>
          <w:lang w:eastAsia="pt-BR"/>
        </w:rPr>
      </w:pPr>
      <w:bookmarkStart w:id="3" w:name="art38ib"/>
      <w:bookmarkEnd w:id="3"/>
      <w:r w:rsidRPr="00FE57FC">
        <w:rPr>
          <w:rFonts w:ascii="Garamond" w:eastAsia="Times New Roman" w:hAnsi="Garamond" w:cs="Arial"/>
          <w:color w:val="002060"/>
          <w:sz w:val="24"/>
          <w:szCs w:val="24"/>
          <w:lang w:eastAsia="pt-BR"/>
        </w:rPr>
        <w:t>b) de danos físicos ao imóvel (DFI), em operações de crédito habitacional no âmbito de programas ou instituições oficiais;</w:t>
      </w:r>
    </w:p>
    <w:p w14:paraId="1091AB16" w14:textId="77777777" w:rsidR="00243E42" w:rsidRPr="00FE57FC" w:rsidRDefault="004425AF" w:rsidP="00F20193">
      <w:pPr>
        <w:spacing w:before="120" w:after="120"/>
        <w:ind w:left="284"/>
        <w:jc w:val="both"/>
        <w:rPr>
          <w:rFonts w:ascii="Garamond" w:eastAsia="Times New Roman" w:hAnsi="Garamond" w:cs="Arial"/>
          <w:color w:val="002060"/>
          <w:sz w:val="24"/>
          <w:szCs w:val="24"/>
          <w:lang w:eastAsia="pt-BR"/>
        </w:rPr>
      </w:pPr>
      <w:bookmarkStart w:id="4" w:name="art38ic"/>
      <w:bookmarkEnd w:id="4"/>
      <w:r w:rsidRPr="00FE57FC">
        <w:rPr>
          <w:rFonts w:ascii="Garamond" w:eastAsia="Times New Roman" w:hAnsi="Garamond" w:cs="Arial"/>
          <w:color w:val="002060"/>
          <w:sz w:val="24"/>
          <w:szCs w:val="24"/>
          <w:lang w:eastAsia="pt-BR"/>
        </w:rPr>
        <w:t>c) de crédito, em operações de crédito habitacional, no âmbito de programas ou instituições oficiais;</w:t>
      </w:r>
    </w:p>
    <w:p w14:paraId="3F5D194C" w14:textId="77777777" w:rsidR="00243E42" w:rsidRPr="00FE57FC" w:rsidRDefault="004425AF" w:rsidP="00F20193">
      <w:pPr>
        <w:spacing w:before="120" w:after="120"/>
        <w:ind w:left="284"/>
        <w:jc w:val="both"/>
        <w:rPr>
          <w:rFonts w:ascii="Garamond" w:eastAsia="Times New Roman" w:hAnsi="Garamond" w:cs="Arial"/>
          <w:color w:val="002060"/>
          <w:sz w:val="24"/>
          <w:szCs w:val="24"/>
          <w:lang w:eastAsia="pt-BR"/>
        </w:rPr>
      </w:pPr>
      <w:bookmarkStart w:id="5" w:name="art38id"/>
      <w:bookmarkEnd w:id="5"/>
      <w:r w:rsidRPr="00FE57FC">
        <w:rPr>
          <w:rFonts w:ascii="Garamond" w:eastAsia="Times New Roman" w:hAnsi="Garamond" w:cs="Arial"/>
          <w:color w:val="002060"/>
          <w:sz w:val="24"/>
          <w:szCs w:val="24"/>
          <w:lang w:eastAsia="pt-BR"/>
        </w:rPr>
        <w:t>d) comerciais, em operações de crédito ao comércio exterior com prazo superior a 2 (dois) anos;</w:t>
      </w:r>
    </w:p>
    <w:p w14:paraId="71A05C30" w14:textId="77777777" w:rsidR="00243E42" w:rsidRPr="00FE57FC" w:rsidRDefault="004425AF" w:rsidP="00F20193">
      <w:pPr>
        <w:spacing w:before="120" w:after="120"/>
        <w:ind w:left="284"/>
        <w:jc w:val="both"/>
        <w:rPr>
          <w:rFonts w:ascii="Garamond" w:eastAsia="Times New Roman" w:hAnsi="Garamond" w:cs="Arial"/>
          <w:color w:val="002060"/>
          <w:sz w:val="24"/>
          <w:szCs w:val="24"/>
          <w:lang w:eastAsia="pt-BR"/>
        </w:rPr>
      </w:pPr>
      <w:bookmarkStart w:id="6" w:name="art38ie"/>
      <w:bookmarkEnd w:id="6"/>
      <w:r w:rsidRPr="00FE57FC">
        <w:rPr>
          <w:rFonts w:ascii="Garamond" w:eastAsia="Times New Roman" w:hAnsi="Garamond" w:cs="Arial"/>
          <w:color w:val="002060"/>
          <w:sz w:val="24"/>
          <w:szCs w:val="24"/>
          <w:lang w:eastAsia="pt-BR"/>
        </w:rPr>
        <w:t>e) políticos e extraordinários, em operações de crédito ao comércio exterior de qualquer prazo;</w:t>
      </w:r>
    </w:p>
    <w:p w14:paraId="2FFD86A3" w14:textId="77777777" w:rsidR="00243E42" w:rsidRPr="00FE57FC" w:rsidRDefault="004425AF" w:rsidP="00F20193">
      <w:pPr>
        <w:spacing w:before="120" w:after="120"/>
        <w:ind w:left="284"/>
        <w:jc w:val="both"/>
        <w:rPr>
          <w:rFonts w:ascii="Garamond" w:eastAsia="Times New Roman" w:hAnsi="Garamond" w:cs="Arial"/>
          <w:color w:val="002060"/>
          <w:sz w:val="24"/>
          <w:szCs w:val="24"/>
          <w:lang w:eastAsia="pt-BR"/>
        </w:rPr>
      </w:pPr>
      <w:bookmarkStart w:id="7" w:name="art38if"/>
      <w:bookmarkEnd w:id="7"/>
      <w:r w:rsidRPr="00FE57FC">
        <w:rPr>
          <w:rFonts w:ascii="Garamond" w:eastAsia="Times New Roman" w:hAnsi="Garamond" w:cs="Arial"/>
          <w:color w:val="002060"/>
          <w:sz w:val="24"/>
          <w:szCs w:val="24"/>
          <w:lang w:eastAsia="pt-BR"/>
        </w:rPr>
        <w:t>f) de descumprimento de obrigações contratuais referentes a operações de exportação de bens ou serviços, conforme garantias previstas em estatuto;</w:t>
      </w:r>
    </w:p>
    <w:p w14:paraId="2C22F5F4" w14:textId="77777777" w:rsidR="00243E42" w:rsidRPr="00FE57FC" w:rsidRDefault="004425AF" w:rsidP="00F20193">
      <w:pPr>
        <w:spacing w:before="120" w:after="120"/>
        <w:ind w:left="284"/>
        <w:jc w:val="both"/>
        <w:rPr>
          <w:rFonts w:ascii="Garamond" w:eastAsia="Times New Roman" w:hAnsi="Garamond" w:cs="Arial"/>
          <w:color w:val="002060"/>
          <w:sz w:val="24"/>
          <w:szCs w:val="24"/>
          <w:lang w:eastAsia="pt-BR"/>
        </w:rPr>
      </w:pPr>
      <w:bookmarkStart w:id="8" w:name="art38ig"/>
      <w:bookmarkEnd w:id="8"/>
      <w:r w:rsidRPr="00FE57FC">
        <w:rPr>
          <w:rFonts w:ascii="Garamond" w:eastAsia="Times New Roman" w:hAnsi="Garamond" w:cs="Arial"/>
          <w:color w:val="002060"/>
          <w:sz w:val="24"/>
          <w:szCs w:val="24"/>
          <w:lang w:eastAsia="pt-BR"/>
        </w:rPr>
        <w:t>g) de crédito, em operações de aquisição de máquinas e implementos agrícolas, no âmbito de programas ou instituições oficiais;</w:t>
      </w:r>
    </w:p>
    <w:p w14:paraId="54426A34" w14:textId="77777777" w:rsidR="00243E42" w:rsidRPr="00FE57FC" w:rsidRDefault="004425AF" w:rsidP="00F20193">
      <w:pPr>
        <w:spacing w:before="120" w:after="120"/>
        <w:ind w:left="284"/>
        <w:jc w:val="both"/>
        <w:rPr>
          <w:rFonts w:ascii="Garamond" w:eastAsia="Times New Roman" w:hAnsi="Garamond" w:cs="Arial"/>
          <w:color w:val="002060"/>
          <w:sz w:val="24"/>
          <w:szCs w:val="24"/>
          <w:lang w:eastAsia="pt-BR"/>
        </w:rPr>
      </w:pPr>
      <w:bookmarkStart w:id="9" w:name="art38ih"/>
      <w:bookmarkEnd w:id="9"/>
      <w:r w:rsidRPr="00FE57FC">
        <w:rPr>
          <w:rFonts w:ascii="Garamond" w:eastAsia="Times New Roman" w:hAnsi="Garamond" w:cs="Arial"/>
          <w:color w:val="002060"/>
          <w:sz w:val="24"/>
          <w:szCs w:val="24"/>
          <w:lang w:eastAsia="pt-BR"/>
        </w:rPr>
        <w:t>h) de crédito, em operações a microempreendedores individuais, autônomos, micr</w:t>
      </w:r>
      <w:r w:rsidR="002118B7" w:rsidRPr="00FE57FC">
        <w:rPr>
          <w:rFonts w:ascii="Garamond" w:eastAsia="Times New Roman" w:hAnsi="Garamond" w:cs="Arial"/>
          <w:color w:val="002060"/>
          <w:sz w:val="24"/>
          <w:szCs w:val="24"/>
          <w:lang w:eastAsia="pt-BR"/>
        </w:rPr>
        <w:t xml:space="preserve">o, pequenas e médias empresas; </w:t>
      </w:r>
    </w:p>
    <w:p w14:paraId="12F1418F" w14:textId="77777777" w:rsidR="00243E42" w:rsidRPr="00FE57FC" w:rsidRDefault="004425AF" w:rsidP="00F20193">
      <w:pPr>
        <w:spacing w:before="120" w:after="120"/>
        <w:ind w:left="284"/>
        <w:jc w:val="both"/>
        <w:rPr>
          <w:rFonts w:ascii="Garamond" w:eastAsia="Times New Roman" w:hAnsi="Garamond" w:cs="Arial"/>
          <w:color w:val="002060"/>
          <w:sz w:val="24"/>
          <w:szCs w:val="24"/>
          <w:lang w:eastAsia="pt-BR"/>
        </w:rPr>
      </w:pPr>
      <w:bookmarkStart w:id="10" w:name="art38i.i"/>
      <w:bookmarkEnd w:id="10"/>
      <w:r w:rsidRPr="00FE57FC">
        <w:rPr>
          <w:rFonts w:ascii="Garamond" w:eastAsia="Times New Roman" w:hAnsi="Garamond" w:cs="Arial"/>
          <w:color w:val="002060"/>
          <w:sz w:val="24"/>
          <w:szCs w:val="24"/>
          <w:lang w:eastAsia="pt-BR"/>
        </w:rPr>
        <w:t>i) de crédito educativo no âmbito de programas ou instituições oficiais;</w:t>
      </w:r>
    </w:p>
    <w:p w14:paraId="4C6CB74E" w14:textId="77777777" w:rsidR="00243E42" w:rsidRPr="00FE57FC" w:rsidRDefault="004425AF" w:rsidP="00F20193">
      <w:pPr>
        <w:spacing w:before="120" w:after="120"/>
        <w:ind w:left="284"/>
        <w:jc w:val="both"/>
        <w:rPr>
          <w:rFonts w:ascii="Garamond" w:eastAsia="Times New Roman" w:hAnsi="Garamond" w:cs="Arial"/>
          <w:color w:val="002060"/>
          <w:sz w:val="24"/>
          <w:szCs w:val="24"/>
          <w:lang w:eastAsia="pt-BR"/>
        </w:rPr>
      </w:pPr>
      <w:bookmarkStart w:id="11" w:name="art38ij"/>
      <w:bookmarkEnd w:id="11"/>
      <w:r w:rsidRPr="00FE57FC">
        <w:rPr>
          <w:rFonts w:ascii="Garamond" w:eastAsia="Times New Roman" w:hAnsi="Garamond" w:cs="Arial"/>
          <w:color w:val="002060"/>
          <w:sz w:val="24"/>
          <w:szCs w:val="24"/>
          <w:lang w:eastAsia="pt-BR"/>
        </w:rPr>
        <w:t>j) comerciais, em operações de crédito ao comércio exterior para micro, pequenas e médias empresas; e</w:t>
      </w:r>
    </w:p>
    <w:p w14:paraId="01C1198F" w14:textId="77777777" w:rsidR="00243E42" w:rsidRPr="00FE57FC" w:rsidRDefault="004425AF" w:rsidP="00F20193">
      <w:pPr>
        <w:spacing w:before="120" w:after="120"/>
        <w:ind w:left="284"/>
        <w:jc w:val="both"/>
        <w:rPr>
          <w:rFonts w:ascii="Garamond" w:eastAsia="Times New Roman" w:hAnsi="Garamond" w:cs="Arial"/>
          <w:color w:val="002060"/>
          <w:sz w:val="24"/>
          <w:szCs w:val="24"/>
          <w:lang w:eastAsia="pt-BR"/>
        </w:rPr>
      </w:pPr>
      <w:bookmarkStart w:id="12" w:name="art38ik"/>
      <w:bookmarkEnd w:id="12"/>
      <w:r w:rsidRPr="00FE57FC">
        <w:rPr>
          <w:rFonts w:ascii="Garamond" w:eastAsia="Times New Roman" w:hAnsi="Garamond" w:cs="Arial"/>
          <w:color w:val="002060"/>
          <w:sz w:val="24"/>
          <w:szCs w:val="24"/>
          <w:lang w:eastAsia="pt-BR"/>
        </w:rPr>
        <w:t>k) do mercado de seguros rurais privados, na forma de cobertura suplementar, nas modalidades agrícola, pecuária, aquícola, florestal e de penhor rural.</w:t>
      </w:r>
    </w:p>
    <w:p w14:paraId="67FE3DD7" w14:textId="77777777" w:rsidR="00243E42" w:rsidRPr="00FE57FC" w:rsidRDefault="004425AF" w:rsidP="00F20193">
      <w:pPr>
        <w:spacing w:before="120" w:after="120"/>
        <w:jc w:val="both"/>
        <w:rPr>
          <w:rFonts w:ascii="Garamond" w:eastAsia="Times New Roman" w:hAnsi="Garamond" w:cs="Arial"/>
          <w:color w:val="002060"/>
          <w:sz w:val="24"/>
          <w:szCs w:val="24"/>
          <w:lang w:eastAsia="pt-BR"/>
        </w:rPr>
      </w:pPr>
      <w:bookmarkStart w:id="13" w:name="art38ii"/>
      <w:bookmarkStart w:id="14" w:name="art38ii.."/>
      <w:bookmarkEnd w:id="13"/>
      <w:bookmarkEnd w:id="14"/>
      <w:r w:rsidRPr="00FE57FC">
        <w:rPr>
          <w:rFonts w:ascii="Garamond" w:eastAsia="Times New Roman" w:hAnsi="Garamond" w:cs="Arial"/>
          <w:color w:val="002060"/>
          <w:sz w:val="24"/>
          <w:szCs w:val="24"/>
          <w:lang w:eastAsia="pt-BR"/>
        </w:rPr>
        <w:t xml:space="preserve">II – a constituição, a administração, a gestão e a representação de fundos garantidores e de outros fundos de interesse da União; </w:t>
      </w:r>
    </w:p>
    <w:p w14:paraId="1F975879" w14:textId="77777777" w:rsidR="00243E42" w:rsidRPr="00FE57FC" w:rsidRDefault="004425AF" w:rsidP="00F20193">
      <w:pPr>
        <w:spacing w:before="120" w:after="120"/>
        <w:jc w:val="both"/>
        <w:rPr>
          <w:rFonts w:ascii="Garamond" w:eastAsia="Times New Roman" w:hAnsi="Garamond" w:cs="Arial"/>
          <w:color w:val="002060"/>
          <w:sz w:val="24"/>
          <w:szCs w:val="24"/>
          <w:lang w:eastAsia="pt-BR"/>
        </w:rPr>
      </w:pPr>
      <w:bookmarkStart w:id="15" w:name="art38iii"/>
      <w:bookmarkEnd w:id="15"/>
      <w:r w:rsidRPr="00FE57FC">
        <w:rPr>
          <w:rFonts w:ascii="Garamond" w:eastAsia="Times New Roman" w:hAnsi="Garamond" w:cs="Arial"/>
          <w:color w:val="002060"/>
          <w:sz w:val="24"/>
          <w:szCs w:val="24"/>
          <w:lang w:eastAsia="pt-BR"/>
        </w:rPr>
        <w:lastRenderedPageBreak/>
        <w:t>III – a constituição, administração, gestão e representação de fundos que tenham por único objetivo a cobertura suplementar dos riscos de seguro rural nas modalidades agrícola, pecuária, aquícola e florestal, desde que autorizada pela legislação aplicável aos seguros privados, observadas as disposições estabelecidas pelo órgão regulador de seguros;</w:t>
      </w:r>
    </w:p>
    <w:p w14:paraId="0C29CBA3" w14:textId="77777777" w:rsidR="00243E42" w:rsidRPr="00FE57FC" w:rsidRDefault="004425AF" w:rsidP="00F20193">
      <w:pPr>
        <w:spacing w:before="120" w:after="120"/>
        <w:jc w:val="both"/>
        <w:rPr>
          <w:rFonts w:ascii="Garamond" w:eastAsia="Times New Roman" w:hAnsi="Garamond" w:cs="Arial"/>
          <w:color w:val="002060"/>
          <w:sz w:val="24"/>
          <w:szCs w:val="24"/>
          <w:lang w:eastAsia="pt-BR"/>
        </w:rPr>
      </w:pPr>
      <w:bookmarkStart w:id="16" w:name="art38iv"/>
      <w:bookmarkStart w:id="17" w:name="art38iv."/>
      <w:bookmarkEnd w:id="16"/>
      <w:bookmarkEnd w:id="17"/>
      <w:r w:rsidRPr="00FE57FC">
        <w:rPr>
          <w:rFonts w:ascii="Garamond" w:eastAsia="Times New Roman" w:hAnsi="Garamond" w:cs="Arial"/>
          <w:color w:val="002060"/>
          <w:sz w:val="24"/>
          <w:szCs w:val="24"/>
          <w:lang w:eastAsia="pt-BR"/>
        </w:rPr>
        <w:t xml:space="preserve">IV – a constituição, a administração, a gestão e a representação do fundo de que trata o </w:t>
      </w:r>
      <w:hyperlink r:id="rId9" w:anchor="art10" w:history="1">
        <w:r w:rsidRPr="00FE57FC">
          <w:rPr>
            <w:rFonts w:ascii="Garamond" w:eastAsia="Times New Roman" w:hAnsi="Garamond" w:cs="Arial"/>
            <w:color w:val="002060"/>
            <w:sz w:val="24"/>
            <w:szCs w:val="24"/>
            <w:lang w:eastAsia="pt-BR"/>
          </w:rPr>
          <w:t>art. 10 da Lei nº 8.374, de 30</w:t>
        </w:r>
        <w:r w:rsidR="0034536B" w:rsidRPr="00FE57FC">
          <w:rPr>
            <w:rFonts w:ascii="Garamond" w:eastAsia="Times New Roman" w:hAnsi="Garamond" w:cs="Arial"/>
            <w:color w:val="002060"/>
            <w:sz w:val="24"/>
            <w:szCs w:val="24"/>
            <w:lang w:eastAsia="pt-BR"/>
          </w:rPr>
          <w:t>.12.</w:t>
        </w:r>
        <w:r w:rsidRPr="00FE57FC">
          <w:rPr>
            <w:rFonts w:ascii="Garamond" w:eastAsia="Times New Roman" w:hAnsi="Garamond" w:cs="Arial"/>
            <w:color w:val="002060"/>
            <w:sz w:val="24"/>
            <w:szCs w:val="24"/>
            <w:lang w:eastAsia="pt-BR"/>
          </w:rPr>
          <w:t>1991</w:t>
        </w:r>
      </w:hyperlink>
      <w:r w:rsidRPr="00FE57FC">
        <w:rPr>
          <w:rFonts w:ascii="Garamond" w:eastAsia="Times New Roman" w:hAnsi="Garamond" w:cs="Arial"/>
          <w:color w:val="002060"/>
          <w:sz w:val="24"/>
          <w:szCs w:val="24"/>
          <w:lang w:eastAsia="pt-BR"/>
        </w:rPr>
        <w:t>, observadas as disposições estabelecidas pelo órgão regulador de seguros;</w:t>
      </w:r>
    </w:p>
    <w:p w14:paraId="3A75F01A" w14:textId="49862950" w:rsidR="003048E2" w:rsidRPr="00FE57FC" w:rsidRDefault="00621601" w:rsidP="00F20193">
      <w:pPr>
        <w:spacing w:before="120" w:after="120"/>
        <w:jc w:val="both"/>
        <w:rPr>
          <w:rFonts w:ascii="Garamond" w:hAnsi="Garamond" w:cs="Arial"/>
          <w:color w:val="002060"/>
          <w:sz w:val="24"/>
          <w:szCs w:val="24"/>
        </w:rPr>
      </w:pPr>
      <w:r w:rsidRPr="00FE57FC">
        <w:rPr>
          <w:rFonts w:ascii="Garamond" w:eastAsia="Times New Roman" w:hAnsi="Garamond" w:cs="Arial"/>
          <w:color w:val="002060"/>
          <w:sz w:val="24"/>
          <w:szCs w:val="24"/>
          <w:lang w:eastAsia="pt-BR"/>
        </w:rPr>
        <w:t>Além disso, a ABGF é a Empresa: (i) contratada para</w:t>
      </w:r>
      <w:r w:rsidR="004425AF" w:rsidRPr="00FE57FC">
        <w:rPr>
          <w:rFonts w:ascii="Garamond" w:eastAsia="Times New Roman" w:hAnsi="Garamond" w:cs="Arial"/>
          <w:color w:val="002060"/>
          <w:sz w:val="24"/>
          <w:szCs w:val="24"/>
          <w:lang w:eastAsia="pt-BR"/>
        </w:rPr>
        <w:t xml:space="preserve"> a execução de serviços relacionados ao seguro de crédito à exportação, inclusive análise, acompanhamento, gestão das operações de prestação de garantias, nos termos do art. 4º da Lei nº 6.704, de 26</w:t>
      </w:r>
      <w:r w:rsidR="00952C2C" w:rsidRPr="00FE57FC">
        <w:rPr>
          <w:rFonts w:ascii="Garamond" w:eastAsia="Times New Roman" w:hAnsi="Garamond" w:cs="Arial"/>
          <w:color w:val="002060"/>
          <w:sz w:val="24"/>
          <w:szCs w:val="24"/>
          <w:lang w:eastAsia="pt-BR"/>
        </w:rPr>
        <w:t>/</w:t>
      </w:r>
      <w:r w:rsidR="004425AF" w:rsidRPr="00FE57FC">
        <w:rPr>
          <w:rFonts w:ascii="Garamond" w:eastAsia="Times New Roman" w:hAnsi="Garamond" w:cs="Arial"/>
          <w:color w:val="002060"/>
          <w:sz w:val="24"/>
          <w:szCs w:val="24"/>
          <w:lang w:eastAsia="pt-BR"/>
        </w:rPr>
        <w:t>10</w:t>
      </w:r>
      <w:r w:rsidR="00952C2C" w:rsidRPr="00FE57FC">
        <w:rPr>
          <w:rFonts w:ascii="Garamond" w:eastAsia="Times New Roman" w:hAnsi="Garamond" w:cs="Arial"/>
          <w:color w:val="002060"/>
          <w:sz w:val="24"/>
          <w:szCs w:val="24"/>
          <w:lang w:eastAsia="pt-BR"/>
        </w:rPr>
        <w:t>/</w:t>
      </w:r>
      <w:r w:rsidR="004425AF" w:rsidRPr="00FE57FC">
        <w:rPr>
          <w:rFonts w:ascii="Garamond" w:eastAsia="Times New Roman" w:hAnsi="Garamond" w:cs="Arial"/>
          <w:color w:val="002060"/>
          <w:sz w:val="24"/>
          <w:szCs w:val="24"/>
          <w:lang w:eastAsia="pt-BR"/>
        </w:rPr>
        <w:t xml:space="preserve">1979; </w:t>
      </w:r>
      <w:r w:rsidRPr="00FE57FC">
        <w:rPr>
          <w:rFonts w:ascii="Garamond" w:eastAsia="Times New Roman" w:hAnsi="Garamond" w:cs="Arial"/>
          <w:color w:val="002060"/>
          <w:sz w:val="24"/>
          <w:szCs w:val="24"/>
          <w:lang w:eastAsia="pt-BR"/>
        </w:rPr>
        <w:t xml:space="preserve">(ii) encarregada da </w:t>
      </w:r>
      <w:r w:rsidR="004425AF" w:rsidRPr="00FE57FC">
        <w:rPr>
          <w:rFonts w:ascii="Garamond" w:eastAsia="Times New Roman" w:hAnsi="Garamond" w:cs="Arial"/>
          <w:color w:val="002060"/>
          <w:sz w:val="24"/>
          <w:szCs w:val="24"/>
          <w:lang w:eastAsia="pt-BR"/>
        </w:rPr>
        <w:t xml:space="preserve">gestão do FESR até a completa liquidação das obrigações desse Fundo, observadas as regras estabelecidas pelo CNSP, conforme previsto no </w:t>
      </w:r>
      <w:hyperlink r:id="rId10" w:anchor="art18" w:history="1">
        <w:r w:rsidR="004425AF" w:rsidRPr="00FE57FC">
          <w:rPr>
            <w:rFonts w:ascii="Garamond" w:eastAsia="Times New Roman" w:hAnsi="Garamond" w:cs="Arial"/>
            <w:color w:val="002060"/>
            <w:sz w:val="24"/>
            <w:szCs w:val="24"/>
            <w:lang w:eastAsia="pt-BR"/>
          </w:rPr>
          <w:t>art. 18 da Lei Complementar nº 137, de 26</w:t>
        </w:r>
        <w:r w:rsidR="0034536B" w:rsidRPr="00FE57FC">
          <w:rPr>
            <w:rFonts w:ascii="Garamond" w:eastAsia="Times New Roman" w:hAnsi="Garamond" w:cs="Arial"/>
            <w:color w:val="002060"/>
            <w:sz w:val="24"/>
            <w:szCs w:val="24"/>
            <w:lang w:eastAsia="pt-BR"/>
          </w:rPr>
          <w:t>.</w:t>
        </w:r>
        <w:r w:rsidR="004425AF" w:rsidRPr="00FE57FC">
          <w:rPr>
            <w:rFonts w:ascii="Garamond" w:eastAsia="Times New Roman" w:hAnsi="Garamond" w:cs="Arial"/>
            <w:color w:val="002060"/>
            <w:sz w:val="24"/>
            <w:szCs w:val="24"/>
            <w:lang w:eastAsia="pt-BR"/>
          </w:rPr>
          <w:t>08</w:t>
        </w:r>
        <w:r w:rsidR="0034536B" w:rsidRPr="00FE57FC">
          <w:rPr>
            <w:rFonts w:ascii="Garamond" w:eastAsia="Times New Roman" w:hAnsi="Garamond" w:cs="Arial"/>
            <w:color w:val="002060"/>
            <w:sz w:val="24"/>
            <w:szCs w:val="24"/>
            <w:lang w:eastAsia="pt-BR"/>
          </w:rPr>
          <w:t>.</w:t>
        </w:r>
        <w:r w:rsidR="004425AF" w:rsidRPr="00FE57FC">
          <w:rPr>
            <w:rFonts w:ascii="Garamond" w:eastAsia="Times New Roman" w:hAnsi="Garamond" w:cs="Arial"/>
            <w:color w:val="002060"/>
            <w:sz w:val="24"/>
            <w:szCs w:val="24"/>
            <w:lang w:eastAsia="pt-BR"/>
          </w:rPr>
          <w:t>2010</w:t>
        </w:r>
      </w:hyperlink>
      <w:r w:rsidRPr="00FE57FC">
        <w:rPr>
          <w:rFonts w:ascii="Garamond" w:eastAsia="Times New Roman" w:hAnsi="Garamond" w:cs="Arial"/>
          <w:color w:val="002060"/>
          <w:sz w:val="24"/>
          <w:szCs w:val="24"/>
          <w:lang w:eastAsia="pt-BR"/>
        </w:rPr>
        <w:t>; e (iii) responsável por administrar o</w:t>
      </w:r>
      <w:r w:rsidR="003048E2" w:rsidRPr="00FE57FC">
        <w:rPr>
          <w:rFonts w:ascii="Garamond" w:hAnsi="Garamond" w:cs="Arial"/>
          <w:color w:val="002060"/>
          <w:sz w:val="24"/>
          <w:szCs w:val="24"/>
        </w:rPr>
        <w:t xml:space="preserve"> Fundo Garantidor de Infraestrutura (FGIE). </w:t>
      </w:r>
    </w:p>
    <w:p w14:paraId="5988DEA6" w14:textId="77777777" w:rsidR="004B1E9D" w:rsidRPr="00FE57FC" w:rsidRDefault="00621601" w:rsidP="00F20193">
      <w:pPr>
        <w:spacing w:before="120" w:after="120"/>
        <w:jc w:val="both"/>
        <w:rPr>
          <w:rFonts w:ascii="Garamond" w:hAnsi="Garamond"/>
          <w:color w:val="002060"/>
          <w:sz w:val="24"/>
          <w:szCs w:val="24"/>
        </w:rPr>
      </w:pPr>
      <w:r w:rsidRPr="00FE57FC">
        <w:rPr>
          <w:rFonts w:ascii="Garamond" w:hAnsi="Garamond" w:cs="Arial"/>
          <w:color w:val="002060"/>
          <w:sz w:val="24"/>
          <w:szCs w:val="24"/>
        </w:rPr>
        <w:t xml:space="preserve">Contudo, de acordo com o </w:t>
      </w:r>
      <w:r w:rsidR="00AC25A9" w:rsidRPr="00FE57FC">
        <w:rPr>
          <w:rFonts w:ascii="Garamond" w:hAnsi="Garamond" w:cs="Arial"/>
          <w:color w:val="002060"/>
          <w:sz w:val="24"/>
          <w:szCs w:val="24"/>
        </w:rPr>
        <w:t xml:space="preserve">Decreto </w:t>
      </w:r>
      <w:r w:rsidRPr="00FE57FC">
        <w:rPr>
          <w:rFonts w:ascii="Garamond" w:hAnsi="Garamond" w:cs="Arial"/>
          <w:color w:val="002060"/>
          <w:sz w:val="24"/>
          <w:szCs w:val="24"/>
        </w:rPr>
        <w:t>nº 10.007, de 05</w:t>
      </w:r>
      <w:r w:rsidR="0034536B" w:rsidRPr="00FE57FC">
        <w:rPr>
          <w:rFonts w:ascii="Garamond" w:hAnsi="Garamond" w:cs="Arial"/>
          <w:color w:val="002060"/>
          <w:sz w:val="24"/>
          <w:szCs w:val="24"/>
        </w:rPr>
        <w:t>.</w:t>
      </w:r>
      <w:r w:rsidRPr="00FE57FC">
        <w:rPr>
          <w:rFonts w:ascii="Garamond" w:hAnsi="Garamond" w:cs="Arial"/>
          <w:color w:val="002060"/>
          <w:sz w:val="24"/>
          <w:szCs w:val="24"/>
        </w:rPr>
        <w:t>09</w:t>
      </w:r>
      <w:r w:rsidR="0034536B" w:rsidRPr="00FE57FC">
        <w:rPr>
          <w:rFonts w:ascii="Garamond" w:hAnsi="Garamond" w:cs="Arial"/>
          <w:color w:val="002060"/>
          <w:sz w:val="24"/>
          <w:szCs w:val="24"/>
        </w:rPr>
        <w:t>.</w:t>
      </w:r>
      <w:r w:rsidRPr="00FE57FC">
        <w:rPr>
          <w:rFonts w:ascii="Garamond" w:hAnsi="Garamond" w:cs="Arial"/>
          <w:color w:val="002060"/>
          <w:sz w:val="24"/>
          <w:szCs w:val="24"/>
        </w:rPr>
        <w:t xml:space="preserve">2019, </w:t>
      </w:r>
      <w:r w:rsidR="004B1E9D" w:rsidRPr="00FE57FC">
        <w:rPr>
          <w:rFonts w:ascii="Garamond" w:hAnsi="Garamond" w:cs="Arial"/>
          <w:color w:val="002060"/>
          <w:sz w:val="24"/>
          <w:szCs w:val="24"/>
        </w:rPr>
        <w:t xml:space="preserve">a ABGF foi qualificada no âmbito do Programa de Parcerias de Investimentos da Presidência da República </w:t>
      </w:r>
      <w:r w:rsidR="00DC5D98" w:rsidRPr="00FE57FC">
        <w:rPr>
          <w:rFonts w:ascii="Garamond" w:hAnsi="Garamond" w:cs="Arial"/>
          <w:color w:val="002060"/>
          <w:sz w:val="24"/>
          <w:szCs w:val="24"/>
        </w:rPr>
        <w:t>(</w:t>
      </w:r>
      <w:r w:rsidR="004B1E9D" w:rsidRPr="00FE57FC">
        <w:rPr>
          <w:rFonts w:ascii="Garamond" w:hAnsi="Garamond" w:cs="Arial"/>
          <w:color w:val="002060"/>
          <w:sz w:val="24"/>
          <w:szCs w:val="24"/>
        </w:rPr>
        <w:t>PPI</w:t>
      </w:r>
      <w:r w:rsidR="00DC5D98" w:rsidRPr="00FE57FC">
        <w:rPr>
          <w:rFonts w:ascii="Garamond" w:hAnsi="Garamond" w:cs="Arial"/>
          <w:color w:val="002060"/>
          <w:sz w:val="24"/>
          <w:szCs w:val="24"/>
        </w:rPr>
        <w:t>)</w:t>
      </w:r>
      <w:r w:rsidR="004B1E9D" w:rsidRPr="00FE57FC">
        <w:rPr>
          <w:rFonts w:ascii="Garamond" w:hAnsi="Garamond" w:cs="Arial"/>
          <w:color w:val="002060"/>
          <w:sz w:val="24"/>
          <w:szCs w:val="24"/>
        </w:rPr>
        <w:t xml:space="preserve"> e incluída no Programa Nacional de Desestatização </w:t>
      </w:r>
      <w:r w:rsidR="00DC5D98" w:rsidRPr="00FE57FC">
        <w:rPr>
          <w:rFonts w:ascii="Garamond" w:hAnsi="Garamond" w:cs="Arial"/>
          <w:color w:val="002060"/>
          <w:sz w:val="24"/>
          <w:szCs w:val="24"/>
        </w:rPr>
        <w:t>(</w:t>
      </w:r>
      <w:r w:rsidR="004B1E9D" w:rsidRPr="00FE57FC">
        <w:rPr>
          <w:rFonts w:ascii="Garamond" w:hAnsi="Garamond" w:cs="Arial"/>
          <w:color w:val="002060"/>
          <w:sz w:val="24"/>
          <w:szCs w:val="24"/>
        </w:rPr>
        <w:t>PND</w:t>
      </w:r>
      <w:r w:rsidR="00DC5D98" w:rsidRPr="00FE57FC">
        <w:rPr>
          <w:rFonts w:ascii="Garamond" w:hAnsi="Garamond" w:cs="Arial"/>
          <w:color w:val="002060"/>
          <w:sz w:val="24"/>
          <w:szCs w:val="24"/>
        </w:rPr>
        <w:t xml:space="preserve">), sendo o </w:t>
      </w:r>
      <w:r w:rsidR="004B1E9D" w:rsidRPr="00FE57FC">
        <w:rPr>
          <w:rFonts w:ascii="Garamond" w:hAnsi="Garamond" w:cs="Arial"/>
          <w:color w:val="002060"/>
          <w:sz w:val="24"/>
          <w:szCs w:val="24"/>
        </w:rPr>
        <w:t xml:space="preserve">Banco Nacional de Desenvolvimento Econômico e Social </w:t>
      </w:r>
      <w:r w:rsidR="00DC5D98" w:rsidRPr="00FE57FC">
        <w:rPr>
          <w:rFonts w:ascii="Garamond" w:hAnsi="Garamond" w:cs="Arial"/>
          <w:color w:val="002060"/>
          <w:sz w:val="24"/>
          <w:szCs w:val="24"/>
        </w:rPr>
        <w:t>(</w:t>
      </w:r>
      <w:r w:rsidR="004B1E9D" w:rsidRPr="00FE57FC">
        <w:rPr>
          <w:rFonts w:ascii="Garamond" w:hAnsi="Garamond" w:cs="Arial"/>
          <w:color w:val="002060"/>
          <w:sz w:val="24"/>
          <w:szCs w:val="24"/>
        </w:rPr>
        <w:t>BNDES</w:t>
      </w:r>
      <w:r w:rsidR="00DC5D98" w:rsidRPr="00FE57FC">
        <w:rPr>
          <w:rFonts w:ascii="Garamond" w:hAnsi="Garamond" w:cs="Arial"/>
          <w:color w:val="002060"/>
          <w:sz w:val="24"/>
          <w:szCs w:val="24"/>
        </w:rPr>
        <w:t xml:space="preserve">) o órgão designado </w:t>
      </w:r>
      <w:r w:rsidR="004B1E9D" w:rsidRPr="00FE57FC">
        <w:rPr>
          <w:rFonts w:ascii="Garamond" w:hAnsi="Garamond" w:cs="Arial"/>
          <w:color w:val="002060"/>
          <w:sz w:val="24"/>
          <w:szCs w:val="24"/>
        </w:rPr>
        <w:t>como responsável pela execução e acompanhamento dos atos necessários à desestatização da ABGF, nos termos do disposto no </w:t>
      </w:r>
      <w:hyperlink r:id="rId11" w:anchor="art6%C2%A71" w:history="1">
        <w:r w:rsidR="004B1E9D" w:rsidRPr="00FE57FC">
          <w:rPr>
            <w:rFonts w:ascii="Garamond" w:hAnsi="Garamond"/>
            <w:color w:val="002060"/>
            <w:sz w:val="24"/>
            <w:szCs w:val="24"/>
          </w:rPr>
          <w:t>§ 1º do art. 6º da Lei nº 9.491, de 9 de setembro de 1997. </w:t>
        </w:r>
      </w:hyperlink>
    </w:p>
    <w:p w14:paraId="72D271E6" w14:textId="77777777" w:rsidR="00DC5D98" w:rsidRPr="00FE57FC" w:rsidRDefault="00903A77" w:rsidP="00F20193">
      <w:pPr>
        <w:spacing w:before="120" w:after="120"/>
        <w:jc w:val="both"/>
        <w:rPr>
          <w:rFonts w:ascii="Garamond" w:hAnsi="Garamond" w:cs="Arial"/>
          <w:color w:val="002060"/>
          <w:sz w:val="24"/>
          <w:szCs w:val="24"/>
        </w:rPr>
      </w:pPr>
      <w:r w:rsidRPr="00FE57FC">
        <w:rPr>
          <w:rFonts w:ascii="Garamond" w:hAnsi="Garamond" w:cs="Arial"/>
          <w:color w:val="002060"/>
          <w:sz w:val="24"/>
          <w:szCs w:val="24"/>
        </w:rPr>
        <w:t>Até o final do exercício de 2020 não havia sido definido o modelo de desestatização a ser adotado para a ABGF</w:t>
      </w:r>
      <w:r w:rsidR="00DC5D98" w:rsidRPr="00FE57FC">
        <w:rPr>
          <w:rFonts w:ascii="Garamond" w:hAnsi="Garamond" w:cs="Arial"/>
          <w:color w:val="002060"/>
          <w:sz w:val="24"/>
          <w:szCs w:val="24"/>
        </w:rPr>
        <w:t xml:space="preserve">.  </w:t>
      </w:r>
    </w:p>
    <w:p w14:paraId="0E687E77" w14:textId="77777777" w:rsidR="007C594A" w:rsidRPr="00FE57FC" w:rsidRDefault="007C66BC" w:rsidP="007C66BC">
      <w:pPr>
        <w:spacing w:before="120" w:after="120" w:line="240" w:lineRule="auto"/>
        <w:jc w:val="both"/>
        <w:rPr>
          <w:rFonts w:ascii="Garamond" w:hAnsi="Garamond" w:cs="Arial"/>
          <w:b/>
          <w:color w:val="002060"/>
          <w:sz w:val="24"/>
          <w:szCs w:val="24"/>
        </w:rPr>
      </w:pPr>
      <w:bookmarkStart w:id="18" w:name="_Toc414015049"/>
      <w:bookmarkStart w:id="19" w:name="_Toc427684012"/>
      <w:r w:rsidRPr="00FE57FC">
        <w:rPr>
          <w:rFonts w:ascii="Garamond" w:hAnsi="Garamond" w:cs="Arial"/>
          <w:b/>
          <w:color w:val="002060"/>
          <w:sz w:val="24"/>
          <w:szCs w:val="24"/>
        </w:rPr>
        <w:t xml:space="preserve">2. Atividades Desenvolvidas </w:t>
      </w:r>
    </w:p>
    <w:p w14:paraId="59C86316" w14:textId="2413F6D2" w:rsidR="00D07DF5" w:rsidRPr="00FE57FC" w:rsidRDefault="00D07DF5" w:rsidP="00381667">
      <w:pPr>
        <w:jc w:val="both"/>
        <w:rPr>
          <w:rFonts w:ascii="Garamond" w:hAnsi="Garamond" w:cs="Arial"/>
          <w:color w:val="002060"/>
          <w:sz w:val="24"/>
          <w:szCs w:val="24"/>
        </w:rPr>
      </w:pPr>
      <w:r w:rsidRPr="00FE57FC">
        <w:rPr>
          <w:rFonts w:ascii="Garamond" w:hAnsi="Garamond" w:cs="Arial"/>
          <w:color w:val="002060"/>
          <w:sz w:val="24"/>
          <w:szCs w:val="24"/>
        </w:rPr>
        <w:t xml:space="preserve">A ABGF, no cumprimento de seu objeto, administra o Fundo Garantidor de Infraestrutura (FGIE), efetua a gestão do Fundo de Estabilidade do Seguro Rural (FESR) e presta serviços para a Secretaria Executiva da Câmara de Comércio Exterior do Ministério da Economia (SE-CAMEX/ME) para a execução os serviços relacionados ao Seguro de Crédito às Exportações (SCE) ao amparo do Fundo Garantidor de Exportação (FGE). </w:t>
      </w:r>
      <w:r w:rsidR="0034536B" w:rsidRPr="00FE57FC">
        <w:rPr>
          <w:rFonts w:ascii="Garamond" w:hAnsi="Garamond" w:cs="Arial"/>
          <w:color w:val="002060"/>
          <w:sz w:val="24"/>
          <w:szCs w:val="24"/>
        </w:rPr>
        <w:t>A Empresa constituiu, ainda, o Fundo de Indenizações do Seguro de Embarcações (FUNDPEM), que não se encontra operacional.</w:t>
      </w:r>
      <w:r w:rsidR="00DE570B" w:rsidRPr="00FE57FC">
        <w:rPr>
          <w:rFonts w:ascii="Garamond" w:hAnsi="Garamond" w:cs="Arial"/>
          <w:color w:val="002060"/>
          <w:sz w:val="24"/>
          <w:szCs w:val="24"/>
        </w:rPr>
        <w:t xml:space="preserve"> </w:t>
      </w:r>
    </w:p>
    <w:p w14:paraId="778E243F" w14:textId="7E3D7948" w:rsidR="00D07DF5" w:rsidRDefault="00D07DF5" w:rsidP="00A23546">
      <w:pPr>
        <w:jc w:val="both"/>
        <w:rPr>
          <w:rFonts w:ascii="Garamond" w:hAnsi="Garamond" w:cs="Arial"/>
          <w:color w:val="002060"/>
          <w:sz w:val="24"/>
          <w:szCs w:val="24"/>
        </w:rPr>
      </w:pPr>
      <w:r w:rsidRPr="00FE57FC">
        <w:rPr>
          <w:rFonts w:ascii="Garamond" w:hAnsi="Garamond" w:cs="Arial"/>
          <w:color w:val="002060"/>
          <w:sz w:val="24"/>
          <w:szCs w:val="24"/>
        </w:rPr>
        <w:t xml:space="preserve">Considerando o direcionamento estratégico da ABGF, o Conselho de </w:t>
      </w:r>
      <w:r w:rsidR="00DE570B" w:rsidRPr="00FE57FC">
        <w:rPr>
          <w:rFonts w:ascii="Garamond" w:hAnsi="Garamond" w:cs="Arial"/>
          <w:color w:val="002060"/>
          <w:sz w:val="24"/>
          <w:szCs w:val="24"/>
        </w:rPr>
        <w:t>Administração, em cumprimento às</w:t>
      </w:r>
      <w:r w:rsidRPr="00FE57FC">
        <w:rPr>
          <w:rFonts w:ascii="Garamond" w:hAnsi="Garamond" w:cs="Arial"/>
          <w:color w:val="002060"/>
          <w:sz w:val="24"/>
          <w:szCs w:val="24"/>
        </w:rPr>
        <w:t xml:space="preserve"> </w:t>
      </w:r>
      <w:r w:rsidR="00DE570B" w:rsidRPr="00FE57FC">
        <w:rPr>
          <w:rFonts w:ascii="Garamond" w:hAnsi="Garamond" w:cs="Arial"/>
          <w:color w:val="002060"/>
          <w:sz w:val="24"/>
          <w:szCs w:val="24"/>
        </w:rPr>
        <w:t xml:space="preserve">diretrizes emanadas pela </w:t>
      </w:r>
      <w:r w:rsidRPr="00FE57FC">
        <w:rPr>
          <w:rFonts w:ascii="Garamond" w:hAnsi="Garamond" w:cs="Arial"/>
          <w:color w:val="002060"/>
          <w:sz w:val="24"/>
          <w:szCs w:val="24"/>
        </w:rPr>
        <w:t xml:space="preserve">União, </w:t>
      </w:r>
      <w:r w:rsidR="00DE570B" w:rsidRPr="00FE57FC">
        <w:rPr>
          <w:rFonts w:ascii="Garamond" w:hAnsi="Garamond" w:cs="Arial"/>
          <w:color w:val="002060"/>
          <w:sz w:val="24"/>
          <w:szCs w:val="24"/>
        </w:rPr>
        <w:t>por meio do</w:t>
      </w:r>
      <w:r w:rsidRPr="00FE57FC">
        <w:rPr>
          <w:rFonts w:ascii="Garamond" w:hAnsi="Garamond" w:cs="Arial"/>
          <w:color w:val="002060"/>
          <w:sz w:val="24"/>
          <w:szCs w:val="24"/>
        </w:rPr>
        <w:t xml:space="preserve"> Ministério Supervisor, orientará a destinação das linhas de negócio quanto a sua gestão, transferência para outras entidades ou descontinuidade dos serviços atualmente prestados pela Empresa.</w:t>
      </w:r>
    </w:p>
    <w:p w14:paraId="667EB4A0" w14:textId="668FB1FE" w:rsidR="006E03C0" w:rsidRPr="006E03C0" w:rsidRDefault="006E03C0" w:rsidP="006E03C0">
      <w:pPr>
        <w:pStyle w:val="Corpodetexto"/>
        <w:spacing w:after="200" w:line="276" w:lineRule="auto"/>
        <w:jc w:val="both"/>
        <w:rPr>
          <w:rFonts w:ascii="Garamond" w:eastAsiaTheme="minorHAnsi" w:hAnsi="Garamond" w:cs="Arial"/>
          <w:color w:val="002060"/>
          <w:sz w:val="24"/>
          <w:szCs w:val="24"/>
          <w:lang w:val="pt-BR" w:eastAsia="en-US" w:bidi="ar-SA"/>
        </w:rPr>
      </w:pPr>
      <w:r w:rsidRPr="006E03C0">
        <w:rPr>
          <w:rFonts w:ascii="Garamond" w:eastAsiaTheme="minorHAnsi" w:hAnsi="Garamond" w:cs="Arial"/>
          <w:color w:val="002060"/>
          <w:sz w:val="24"/>
          <w:szCs w:val="24"/>
          <w:lang w:val="pt-BR" w:eastAsia="en-US" w:bidi="ar-SA"/>
        </w:rPr>
        <w:t>Destaca-se que em 2020, o cancelamento da autorização de funcionamento junto a SUSEP para operar com operações de seguro reguladas por aquele órgão</w:t>
      </w:r>
      <w:r>
        <w:rPr>
          <w:rFonts w:ascii="Garamond" w:eastAsiaTheme="minorHAnsi" w:hAnsi="Garamond" w:cs="Arial"/>
          <w:color w:val="002060"/>
          <w:sz w:val="24"/>
          <w:szCs w:val="24"/>
          <w:lang w:val="pt-BR" w:eastAsia="en-US" w:bidi="ar-SA"/>
        </w:rPr>
        <w:t>, por meio da Portaria nº 7.707, de 25.11.2020,</w:t>
      </w:r>
      <w:r w:rsidRPr="006E03C0">
        <w:rPr>
          <w:rFonts w:ascii="Garamond" w:eastAsiaTheme="minorHAnsi" w:hAnsi="Garamond" w:cs="Arial"/>
          <w:color w:val="002060"/>
          <w:sz w:val="24"/>
          <w:szCs w:val="24"/>
          <w:lang w:val="pt-BR" w:eastAsia="en-US" w:bidi="ar-SA"/>
        </w:rPr>
        <w:t xml:space="preserve">, após deliberação em Assembleia Geral de Acionistas. </w:t>
      </w:r>
    </w:p>
    <w:p w14:paraId="1762AE5A" w14:textId="77777777" w:rsidR="006E03C0" w:rsidRPr="00FE57FC" w:rsidRDefault="006E03C0" w:rsidP="00A23546">
      <w:pPr>
        <w:jc w:val="both"/>
        <w:rPr>
          <w:rFonts w:ascii="Garamond" w:hAnsi="Garamond" w:cs="Arial"/>
          <w:color w:val="002060"/>
          <w:sz w:val="24"/>
          <w:szCs w:val="24"/>
        </w:rPr>
      </w:pPr>
    </w:p>
    <w:p w14:paraId="23117C40" w14:textId="574010C4" w:rsidR="003048E2" w:rsidRPr="00FE57FC" w:rsidRDefault="00621601" w:rsidP="003048E2">
      <w:pPr>
        <w:pStyle w:val="Ttulo3"/>
        <w:rPr>
          <w:rFonts w:ascii="Garamond" w:hAnsi="Garamond"/>
          <w:color w:val="002060"/>
        </w:rPr>
      </w:pPr>
      <w:r w:rsidRPr="00FE57FC">
        <w:rPr>
          <w:rFonts w:ascii="Garamond" w:hAnsi="Garamond"/>
          <w:color w:val="002060"/>
        </w:rPr>
        <w:lastRenderedPageBreak/>
        <w:t xml:space="preserve">2.1 </w:t>
      </w:r>
      <w:r w:rsidR="003048E2" w:rsidRPr="00FE57FC">
        <w:rPr>
          <w:rFonts w:ascii="Garamond" w:hAnsi="Garamond"/>
          <w:color w:val="002060"/>
        </w:rPr>
        <w:t>Fundo Garantidor de Infraestrutura – FGIE</w:t>
      </w:r>
      <w:bookmarkEnd w:id="18"/>
      <w:bookmarkEnd w:id="19"/>
    </w:p>
    <w:p w14:paraId="70D8645C" w14:textId="20262F23" w:rsidR="003048E2" w:rsidRPr="00FE57FC" w:rsidRDefault="003048E2" w:rsidP="003048E2">
      <w:pPr>
        <w:jc w:val="both"/>
        <w:rPr>
          <w:rFonts w:ascii="Garamond" w:hAnsi="Garamond" w:cs="Arial"/>
          <w:color w:val="002060"/>
          <w:sz w:val="24"/>
          <w:szCs w:val="24"/>
        </w:rPr>
      </w:pPr>
      <w:r w:rsidRPr="00FE57FC">
        <w:rPr>
          <w:rFonts w:ascii="Garamond" w:hAnsi="Garamond" w:cs="Arial"/>
          <w:color w:val="002060"/>
          <w:sz w:val="24"/>
          <w:szCs w:val="24"/>
        </w:rPr>
        <w:t>O FGIE</w:t>
      </w:r>
      <w:r w:rsidR="008B6716" w:rsidRPr="00FE57FC">
        <w:rPr>
          <w:rFonts w:ascii="Garamond" w:hAnsi="Garamond" w:cs="Arial"/>
          <w:color w:val="002060"/>
          <w:sz w:val="24"/>
          <w:szCs w:val="24"/>
        </w:rPr>
        <w:t xml:space="preserve">, constituído pela ABGF em 2014, </w:t>
      </w:r>
      <w:r w:rsidRPr="00FE57FC">
        <w:rPr>
          <w:rFonts w:ascii="Garamond" w:hAnsi="Garamond" w:cs="Arial"/>
          <w:color w:val="002060"/>
          <w:sz w:val="24"/>
          <w:szCs w:val="24"/>
        </w:rPr>
        <w:t xml:space="preserve">é um fundo de natureza privada, que tem a finalidade de garantir, de forma direta ou indireta, </w:t>
      </w:r>
      <w:r w:rsidR="00F77EED" w:rsidRPr="00FE57FC">
        <w:rPr>
          <w:rFonts w:ascii="Garamond" w:hAnsi="Garamond" w:cs="Arial"/>
          <w:color w:val="002060"/>
          <w:sz w:val="24"/>
          <w:szCs w:val="24"/>
        </w:rPr>
        <w:t xml:space="preserve">cobertura para </w:t>
      </w:r>
      <w:r w:rsidRPr="00FE57FC">
        <w:rPr>
          <w:rFonts w:ascii="Garamond" w:hAnsi="Garamond" w:cs="Arial"/>
          <w:color w:val="002060"/>
          <w:sz w:val="24"/>
          <w:szCs w:val="24"/>
        </w:rPr>
        <w:t>quaisquer riscos</w:t>
      </w:r>
      <w:r w:rsidR="00F77EED" w:rsidRPr="00FE57FC">
        <w:rPr>
          <w:rFonts w:ascii="Garamond" w:hAnsi="Garamond" w:cs="Arial"/>
          <w:color w:val="002060"/>
          <w:sz w:val="24"/>
          <w:szCs w:val="24"/>
        </w:rPr>
        <w:t xml:space="preserve">, inclusive riscos não gerenciáveis relacionados a concessões, observadas </w:t>
      </w:r>
      <w:r w:rsidRPr="00FE57FC">
        <w:rPr>
          <w:rFonts w:ascii="Garamond" w:hAnsi="Garamond" w:cs="Arial"/>
          <w:color w:val="002060"/>
          <w:sz w:val="24"/>
          <w:szCs w:val="24"/>
        </w:rPr>
        <w:t xml:space="preserve"> </w:t>
      </w:r>
      <w:r w:rsidR="00F77EED" w:rsidRPr="00FE57FC">
        <w:rPr>
          <w:rFonts w:ascii="Garamond" w:hAnsi="Garamond" w:cs="Arial"/>
          <w:color w:val="002060"/>
          <w:sz w:val="24"/>
          <w:szCs w:val="24"/>
        </w:rPr>
        <w:t>a condições e formas previstas em seu Estatuto, nas seguintes operações: i) projetos de infraestrutura de grande vulto ou de programas estratégicos definidos em ato do Poder Executivo; ii) projetos de financiamento à construção naval; iii) operações de crédito para o setor de aviação civil; iv) projetos resultantes de Parcerias Público-Privadas (PPPs</w:t>
      </w:r>
      <w:r w:rsidR="006E529B" w:rsidRPr="00FE57FC">
        <w:rPr>
          <w:rFonts w:ascii="Garamond" w:hAnsi="Garamond" w:cs="Arial"/>
          <w:color w:val="002060"/>
          <w:sz w:val="24"/>
          <w:szCs w:val="24"/>
        </w:rPr>
        <w:t xml:space="preserve">), inclusive os organizados por Estados ou Municípios; v) outros programas estratégicos vinculados a operações de infraestrutura definidos por ato do Poder Executivo; e </w:t>
      </w:r>
      <w:r w:rsidR="00621601" w:rsidRPr="00FE57FC">
        <w:rPr>
          <w:rFonts w:ascii="Garamond" w:hAnsi="Garamond" w:cs="Arial"/>
          <w:color w:val="002060"/>
          <w:sz w:val="24"/>
          <w:szCs w:val="24"/>
        </w:rPr>
        <w:t xml:space="preserve">vi) </w:t>
      </w:r>
      <w:r w:rsidR="006E529B" w:rsidRPr="00FE57FC">
        <w:rPr>
          <w:rFonts w:ascii="Garamond" w:hAnsi="Garamond" w:cs="Arial"/>
          <w:color w:val="002060"/>
          <w:sz w:val="24"/>
          <w:szCs w:val="24"/>
        </w:rPr>
        <w:t xml:space="preserve">projetos de construção, total ou parcial, de eclusas ou de outros dispositivos de transposição de níveis. </w:t>
      </w:r>
      <w:r w:rsidR="00F77EED" w:rsidRPr="00FE57FC">
        <w:rPr>
          <w:rFonts w:ascii="Garamond" w:hAnsi="Garamond" w:cs="Arial"/>
          <w:color w:val="002060"/>
          <w:sz w:val="24"/>
          <w:szCs w:val="24"/>
        </w:rPr>
        <w:t xml:space="preserve"> </w:t>
      </w:r>
    </w:p>
    <w:p w14:paraId="388F17B5" w14:textId="11EF8994" w:rsidR="0034536B" w:rsidRPr="00FE57FC" w:rsidRDefault="0034536B" w:rsidP="003048E2">
      <w:pPr>
        <w:jc w:val="both"/>
        <w:rPr>
          <w:rFonts w:ascii="Garamond" w:hAnsi="Garamond" w:cs="Arial"/>
          <w:color w:val="002060"/>
          <w:sz w:val="24"/>
          <w:szCs w:val="24"/>
        </w:rPr>
      </w:pPr>
      <w:r w:rsidRPr="00FE57FC">
        <w:rPr>
          <w:rFonts w:ascii="Garamond" w:hAnsi="Garamond" w:cs="Arial"/>
          <w:color w:val="002060"/>
          <w:sz w:val="24"/>
          <w:szCs w:val="24"/>
        </w:rPr>
        <w:t>A ABGF, conforme o Estatuto do FGIE, é responsável pela sua administração, gestão e representação, judicial e extrajudicial, sendo competente para praticar s atos necessários à concessão de garantias.</w:t>
      </w:r>
    </w:p>
    <w:p w14:paraId="648D3F03" w14:textId="77777777" w:rsidR="00D07DF5" w:rsidRPr="00FE57FC" w:rsidRDefault="00D07DF5" w:rsidP="00D07DF5">
      <w:pPr>
        <w:jc w:val="both"/>
        <w:rPr>
          <w:rFonts w:ascii="Garamond" w:hAnsi="Garamond" w:cs="Arial"/>
          <w:color w:val="002060"/>
          <w:sz w:val="24"/>
          <w:szCs w:val="24"/>
        </w:rPr>
      </w:pPr>
      <w:r w:rsidRPr="00FE57FC">
        <w:rPr>
          <w:rFonts w:ascii="Garamond" w:hAnsi="Garamond" w:cs="Arial"/>
          <w:color w:val="002060"/>
          <w:sz w:val="24"/>
          <w:szCs w:val="24"/>
        </w:rPr>
        <w:t xml:space="preserve">Em agosto de 2019, após </w:t>
      </w:r>
      <w:r w:rsidR="00DE570B" w:rsidRPr="00FE57FC">
        <w:rPr>
          <w:rFonts w:ascii="Garamond" w:hAnsi="Garamond" w:cs="Arial"/>
          <w:color w:val="002060"/>
          <w:sz w:val="24"/>
          <w:szCs w:val="24"/>
        </w:rPr>
        <w:t xml:space="preserve">o </w:t>
      </w:r>
      <w:r w:rsidRPr="00FE57FC">
        <w:rPr>
          <w:rFonts w:ascii="Garamond" w:hAnsi="Garamond" w:cs="Arial"/>
          <w:color w:val="002060"/>
          <w:sz w:val="24"/>
          <w:szCs w:val="24"/>
        </w:rPr>
        <w:t>recolhimento da comissão pecuniária pelo Parceiro Privado, iniciou a vigência da garantia prestada pelo FGIE, com previsão de conclusão em 2044, à Parceria Pública Privada firmada pelo município de Salto, no estado de São Paulo e a empresa CSO Ambiental de Salto SPE S/A, para prestação de serviços de coleta e tratamento de resíduos sólidos. O limite de cobertura, observadas as condições da garantia, é de R$ 6</w:t>
      </w:r>
      <w:r w:rsidR="0034536B" w:rsidRPr="00FE57FC">
        <w:rPr>
          <w:rFonts w:ascii="Garamond" w:hAnsi="Garamond" w:cs="Arial"/>
          <w:color w:val="002060"/>
          <w:sz w:val="24"/>
          <w:szCs w:val="24"/>
        </w:rPr>
        <w:t>,</w:t>
      </w:r>
      <w:r w:rsidRPr="00FE57FC">
        <w:rPr>
          <w:rFonts w:ascii="Garamond" w:hAnsi="Garamond" w:cs="Arial"/>
          <w:color w:val="002060"/>
          <w:sz w:val="24"/>
          <w:szCs w:val="24"/>
        </w:rPr>
        <w:t>17</w:t>
      </w:r>
      <w:r w:rsidR="0034536B" w:rsidRPr="00FE57FC">
        <w:rPr>
          <w:rFonts w:ascii="Garamond" w:hAnsi="Garamond" w:cs="Arial"/>
          <w:color w:val="002060"/>
          <w:sz w:val="24"/>
          <w:szCs w:val="24"/>
        </w:rPr>
        <w:t xml:space="preserve"> milhões</w:t>
      </w:r>
      <w:r w:rsidRPr="00FE57FC">
        <w:rPr>
          <w:rFonts w:ascii="Garamond" w:hAnsi="Garamond" w:cs="Arial"/>
          <w:color w:val="002060"/>
          <w:sz w:val="24"/>
          <w:szCs w:val="24"/>
        </w:rPr>
        <w:t xml:space="preserve">. Em 2020, a ABGF realizou o acompanhamento da garantia certificando-se que os aportes de responsabilidade do parceiro público </w:t>
      </w:r>
      <w:r w:rsidR="00DE570B" w:rsidRPr="00FE57FC">
        <w:rPr>
          <w:rFonts w:ascii="Garamond" w:hAnsi="Garamond" w:cs="Arial"/>
          <w:color w:val="002060"/>
          <w:sz w:val="24"/>
          <w:szCs w:val="24"/>
        </w:rPr>
        <w:t xml:space="preserve">previstos para o período </w:t>
      </w:r>
      <w:r w:rsidRPr="00FE57FC">
        <w:rPr>
          <w:rFonts w:ascii="Garamond" w:hAnsi="Garamond" w:cs="Arial"/>
          <w:color w:val="002060"/>
          <w:sz w:val="24"/>
          <w:szCs w:val="24"/>
        </w:rPr>
        <w:t>foram realizados.</w:t>
      </w:r>
    </w:p>
    <w:p w14:paraId="19B74224" w14:textId="77777777" w:rsidR="00D07DF5" w:rsidRPr="00FE57FC" w:rsidRDefault="00D07DF5" w:rsidP="00D07DF5">
      <w:pPr>
        <w:jc w:val="both"/>
        <w:rPr>
          <w:rFonts w:ascii="Garamond" w:hAnsi="Garamond" w:cs="Arial"/>
          <w:color w:val="002060"/>
          <w:sz w:val="24"/>
          <w:szCs w:val="24"/>
        </w:rPr>
      </w:pPr>
      <w:r w:rsidRPr="00FE57FC">
        <w:rPr>
          <w:rFonts w:ascii="Garamond" w:hAnsi="Garamond" w:cs="Arial"/>
          <w:color w:val="002060"/>
          <w:sz w:val="24"/>
          <w:szCs w:val="24"/>
        </w:rPr>
        <w:t>Encontra-se em fase adiantada de conclusão a garantia FGIE para cobertura de risco de descumprimento de obrigações pecuniárias assumidas pelo parceiro público em contrato de Parceria Público-Privada para gestão da rede de comunicação integrada do Comando da Aeronáutica (Comaer), uma vez que</w:t>
      </w:r>
      <w:r w:rsidR="00DE570B" w:rsidRPr="00FE57FC">
        <w:rPr>
          <w:rFonts w:ascii="Garamond" w:hAnsi="Garamond" w:cs="Arial"/>
          <w:color w:val="002060"/>
          <w:sz w:val="24"/>
          <w:szCs w:val="24"/>
        </w:rPr>
        <w:t>,</w:t>
      </w:r>
      <w:r w:rsidRPr="00FE57FC">
        <w:rPr>
          <w:rFonts w:ascii="Garamond" w:hAnsi="Garamond" w:cs="Arial"/>
          <w:color w:val="002060"/>
          <w:sz w:val="24"/>
          <w:szCs w:val="24"/>
        </w:rPr>
        <w:t xml:space="preserve"> atualmente, existem 68 contratos de transmissão de dados pulverizados geograficamente e gerenciados por diversas unidades militares da Aeronáutica.  </w:t>
      </w:r>
    </w:p>
    <w:p w14:paraId="26710FB5" w14:textId="77777777" w:rsidR="00D07DF5" w:rsidRPr="00FE57FC" w:rsidRDefault="00D07DF5" w:rsidP="00D07DF5">
      <w:pPr>
        <w:jc w:val="both"/>
        <w:rPr>
          <w:rFonts w:ascii="Garamond" w:hAnsi="Garamond" w:cs="Arial"/>
          <w:color w:val="002060"/>
          <w:sz w:val="24"/>
          <w:szCs w:val="24"/>
        </w:rPr>
      </w:pPr>
      <w:r w:rsidRPr="00FE57FC">
        <w:rPr>
          <w:rFonts w:ascii="Garamond" w:hAnsi="Garamond" w:cs="Arial"/>
          <w:color w:val="002060"/>
          <w:sz w:val="24"/>
          <w:szCs w:val="24"/>
        </w:rPr>
        <w:t xml:space="preserve">Com essa parceria, esses serviços serão prestados por um único parceiro privado, o que, além de agilizar a atualização tecnológica, irá possibilitar a economia de recursos públicos para o custeio das despesas. </w:t>
      </w:r>
    </w:p>
    <w:p w14:paraId="5A74682C" w14:textId="77777777" w:rsidR="00D07DF5" w:rsidRPr="00FE57FC" w:rsidRDefault="00D07DF5" w:rsidP="00D07DF5">
      <w:pPr>
        <w:jc w:val="both"/>
        <w:rPr>
          <w:rFonts w:ascii="Garamond" w:hAnsi="Garamond" w:cs="Arial"/>
          <w:color w:val="002060"/>
          <w:sz w:val="24"/>
          <w:szCs w:val="24"/>
        </w:rPr>
      </w:pPr>
      <w:r w:rsidRPr="00FE57FC">
        <w:rPr>
          <w:rFonts w:ascii="Garamond" w:hAnsi="Garamond" w:cs="Arial"/>
          <w:color w:val="002060"/>
          <w:sz w:val="24"/>
          <w:szCs w:val="24"/>
        </w:rPr>
        <w:t>O limite da cobertura, equivalente a 06</w:t>
      </w:r>
      <w:r w:rsidR="0034536B" w:rsidRPr="00FE57FC">
        <w:rPr>
          <w:rFonts w:ascii="Garamond" w:hAnsi="Garamond" w:cs="Arial"/>
          <w:color w:val="002060"/>
          <w:sz w:val="24"/>
          <w:szCs w:val="24"/>
        </w:rPr>
        <w:t xml:space="preserve"> </w:t>
      </w:r>
      <w:r w:rsidRPr="00FE57FC">
        <w:rPr>
          <w:rFonts w:ascii="Garamond" w:hAnsi="Garamond" w:cs="Arial"/>
          <w:color w:val="002060"/>
          <w:sz w:val="24"/>
          <w:szCs w:val="24"/>
        </w:rPr>
        <w:t>(seis) contraprestações mensais, de responsabilidade do Parceiro Público, é de aproximadamente R$ 105</w:t>
      </w:r>
      <w:r w:rsidR="0034536B" w:rsidRPr="00FE57FC">
        <w:rPr>
          <w:rFonts w:ascii="Garamond" w:hAnsi="Garamond" w:cs="Arial"/>
          <w:color w:val="002060"/>
          <w:sz w:val="24"/>
          <w:szCs w:val="24"/>
        </w:rPr>
        <w:t>,</w:t>
      </w:r>
      <w:r w:rsidRPr="00FE57FC">
        <w:rPr>
          <w:rFonts w:ascii="Garamond" w:hAnsi="Garamond" w:cs="Arial"/>
          <w:color w:val="002060"/>
          <w:sz w:val="24"/>
          <w:szCs w:val="24"/>
        </w:rPr>
        <w:t>4</w:t>
      </w:r>
      <w:r w:rsidR="0034536B" w:rsidRPr="00FE57FC">
        <w:rPr>
          <w:rFonts w:ascii="Garamond" w:hAnsi="Garamond" w:cs="Arial"/>
          <w:color w:val="002060"/>
          <w:sz w:val="24"/>
          <w:szCs w:val="24"/>
        </w:rPr>
        <w:t xml:space="preserve"> milhões</w:t>
      </w:r>
      <w:r w:rsidRPr="00FE57FC">
        <w:rPr>
          <w:rFonts w:ascii="Garamond" w:hAnsi="Garamond" w:cs="Arial"/>
          <w:color w:val="002060"/>
          <w:sz w:val="24"/>
          <w:szCs w:val="24"/>
        </w:rPr>
        <w:t>. A assinatura do respectivo certificado de garantia está prevista para o 2º semestre de 2021. Havia previsão de realização da licitação do projeto em maio de 2020. Entretanto, o pregão foi suspenso, principalmente, em decorrência da pandemia do COVID-19.</w:t>
      </w:r>
    </w:p>
    <w:p w14:paraId="3ECD3C85" w14:textId="77777777" w:rsidR="00A23546" w:rsidRPr="00FE57FC" w:rsidRDefault="0034536B" w:rsidP="00D07DF5">
      <w:pPr>
        <w:jc w:val="both"/>
        <w:rPr>
          <w:rFonts w:ascii="Garamond" w:hAnsi="Garamond" w:cs="Arial"/>
          <w:color w:val="002060"/>
          <w:sz w:val="24"/>
          <w:szCs w:val="24"/>
        </w:rPr>
      </w:pPr>
      <w:r w:rsidRPr="00FE57FC">
        <w:rPr>
          <w:rFonts w:ascii="Garamond" w:hAnsi="Garamond" w:cs="Arial"/>
          <w:color w:val="002060"/>
          <w:sz w:val="24"/>
          <w:szCs w:val="24"/>
        </w:rPr>
        <w:t xml:space="preserve">Em 31.12.2020, o Patrimônio Líquido do FGIE era da ordem de R$ 752 milhões, cujos recursos estão disponíveis para a concessão de garantias pelo Fundo em cumprimento aos seus objetivos estatutários, principalmente na prestação de garantia de operações no âmbito dos Programas de Parcerias para Investimentos do Governo Federal, de outros projetos considerados prioritários pela União e na cobertura de riscos não assumidos pelo mercado. </w:t>
      </w:r>
      <w:r w:rsidR="00A23546" w:rsidRPr="00FE57FC">
        <w:rPr>
          <w:rFonts w:ascii="Garamond" w:hAnsi="Garamond" w:cs="Arial"/>
          <w:color w:val="002060"/>
          <w:sz w:val="24"/>
          <w:szCs w:val="24"/>
        </w:rPr>
        <w:t xml:space="preserve"> </w:t>
      </w:r>
    </w:p>
    <w:p w14:paraId="6297A0AB" w14:textId="77777777" w:rsidR="003048E2" w:rsidRPr="00FE57FC" w:rsidRDefault="00582E3B" w:rsidP="003048E2">
      <w:pPr>
        <w:pStyle w:val="Ttulo3"/>
        <w:rPr>
          <w:rFonts w:ascii="Garamond" w:hAnsi="Garamond"/>
          <w:color w:val="002060"/>
        </w:rPr>
      </w:pPr>
      <w:r w:rsidRPr="00FE57FC">
        <w:rPr>
          <w:rFonts w:ascii="Garamond" w:hAnsi="Garamond"/>
          <w:color w:val="002060"/>
        </w:rPr>
        <w:lastRenderedPageBreak/>
        <w:t xml:space="preserve">2.2 </w:t>
      </w:r>
      <w:r w:rsidR="003048E2" w:rsidRPr="00FE57FC">
        <w:rPr>
          <w:rFonts w:ascii="Garamond" w:hAnsi="Garamond"/>
          <w:color w:val="002060"/>
        </w:rPr>
        <w:t>Seguro de Crédito à Exportação – SCE</w:t>
      </w:r>
    </w:p>
    <w:p w14:paraId="6DFB9E9A" w14:textId="5FBCDF0B" w:rsidR="003048E2" w:rsidRPr="00FE57FC" w:rsidRDefault="003048E2" w:rsidP="003048E2">
      <w:pPr>
        <w:jc w:val="both"/>
        <w:rPr>
          <w:rFonts w:ascii="Garamond" w:hAnsi="Garamond" w:cs="Arial"/>
          <w:color w:val="002060"/>
          <w:sz w:val="24"/>
          <w:szCs w:val="24"/>
        </w:rPr>
      </w:pPr>
      <w:r w:rsidRPr="00FE57FC">
        <w:rPr>
          <w:rFonts w:ascii="Garamond" w:hAnsi="Garamond" w:cs="Arial"/>
          <w:color w:val="002060"/>
          <w:sz w:val="24"/>
          <w:szCs w:val="24"/>
        </w:rPr>
        <w:t xml:space="preserve">A ABGF presta serviços para a </w:t>
      </w:r>
      <w:r w:rsidR="007A4D10" w:rsidRPr="00FE57FC">
        <w:rPr>
          <w:rFonts w:ascii="Garamond" w:hAnsi="Garamond" w:cs="Arial"/>
          <w:color w:val="002060"/>
          <w:sz w:val="24"/>
          <w:szCs w:val="24"/>
        </w:rPr>
        <w:t>Secretaria Executiva da Câmara de Comércio Exterior do Ministério da Economia</w:t>
      </w:r>
      <w:r w:rsidR="00415DBD" w:rsidRPr="00FE57FC">
        <w:rPr>
          <w:rFonts w:ascii="Garamond" w:hAnsi="Garamond" w:cs="Arial"/>
          <w:color w:val="002060"/>
          <w:sz w:val="24"/>
          <w:szCs w:val="24"/>
        </w:rPr>
        <w:t xml:space="preserve"> (SE</w:t>
      </w:r>
      <w:r w:rsidR="007A4D10" w:rsidRPr="00FE57FC">
        <w:rPr>
          <w:rFonts w:ascii="Garamond" w:hAnsi="Garamond" w:cs="Arial"/>
          <w:color w:val="002060"/>
          <w:sz w:val="24"/>
          <w:szCs w:val="24"/>
        </w:rPr>
        <w:t>-CAMEX</w:t>
      </w:r>
      <w:r w:rsidR="00415DBD" w:rsidRPr="00FE57FC">
        <w:rPr>
          <w:rFonts w:ascii="Garamond" w:hAnsi="Garamond" w:cs="Arial"/>
          <w:color w:val="002060"/>
          <w:sz w:val="24"/>
          <w:szCs w:val="24"/>
        </w:rPr>
        <w:t>/ME)</w:t>
      </w:r>
      <w:r w:rsidR="005B1954" w:rsidRPr="00FE57FC">
        <w:rPr>
          <w:rFonts w:ascii="Garamond" w:hAnsi="Garamond" w:cs="Arial"/>
          <w:color w:val="002060"/>
          <w:sz w:val="24"/>
          <w:szCs w:val="24"/>
        </w:rPr>
        <w:t xml:space="preserve"> </w:t>
      </w:r>
      <w:r w:rsidRPr="00FE57FC">
        <w:rPr>
          <w:rFonts w:ascii="Garamond" w:hAnsi="Garamond" w:cs="Arial"/>
          <w:color w:val="002060"/>
          <w:sz w:val="24"/>
          <w:szCs w:val="24"/>
        </w:rPr>
        <w:t xml:space="preserve">na execução dos serviços de SCE previstos na Lei nº 6.704/1979 e cobertos com recursos do </w:t>
      </w:r>
      <w:r w:rsidR="00582E3B" w:rsidRPr="00FE57FC">
        <w:rPr>
          <w:rFonts w:ascii="Garamond" w:hAnsi="Garamond" w:cs="Arial"/>
          <w:color w:val="002060"/>
          <w:sz w:val="24"/>
          <w:szCs w:val="24"/>
        </w:rPr>
        <w:t>Fundo de Garantia à Exportação (</w:t>
      </w:r>
      <w:r w:rsidRPr="00FE57FC">
        <w:rPr>
          <w:rFonts w:ascii="Garamond" w:hAnsi="Garamond" w:cs="Arial"/>
          <w:color w:val="002060"/>
          <w:sz w:val="24"/>
          <w:szCs w:val="24"/>
        </w:rPr>
        <w:t>FGE</w:t>
      </w:r>
      <w:r w:rsidR="00582E3B" w:rsidRPr="00FE57FC">
        <w:rPr>
          <w:rFonts w:ascii="Garamond" w:hAnsi="Garamond" w:cs="Arial"/>
          <w:color w:val="002060"/>
          <w:sz w:val="24"/>
          <w:szCs w:val="24"/>
        </w:rPr>
        <w:t>)</w:t>
      </w:r>
      <w:r w:rsidRPr="00FE57FC">
        <w:rPr>
          <w:rFonts w:ascii="Garamond" w:hAnsi="Garamond" w:cs="Arial"/>
          <w:color w:val="002060"/>
          <w:sz w:val="24"/>
          <w:szCs w:val="24"/>
        </w:rPr>
        <w:t xml:space="preserve">. Os serviços prestados pela ABGF incluem </w:t>
      </w:r>
      <w:r w:rsidR="00D7736B">
        <w:rPr>
          <w:rFonts w:ascii="Garamond" w:hAnsi="Garamond" w:cs="Arial"/>
          <w:color w:val="002060"/>
          <w:sz w:val="24"/>
          <w:szCs w:val="24"/>
        </w:rPr>
        <w:t xml:space="preserve">principalmente a </w:t>
      </w:r>
      <w:r w:rsidRPr="00FE57FC">
        <w:rPr>
          <w:rFonts w:ascii="Garamond" w:hAnsi="Garamond" w:cs="Arial"/>
          <w:color w:val="002060"/>
          <w:sz w:val="24"/>
          <w:szCs w:val="24"/>
        </w:rPr>
        <w:t xml:space="preserve">análise, acompanhamento, monitoramento, gestão dos riscos e das coberturas de </w:t>
      </w:r>
      <w:r w:rsidR="00582E3B" w:rsidRPr="00FE57FC">
        <w:rPr>
          <w:rFonts w:ascii="Garamond" w:hAnsi="Garamond" w:cs="Arial"/>
          <w:color w:val="002060"/>
          <w:sz w:val="24"/>
          <w:szCs w:val="24"/>
        </w:rPr>
        <w:t xml:space="preserve">Seguro </w:t>
      </w:r>
      <w:r w:rsidRPr="00FE57FC">
        <w:rPr>
          <w:rFonts w:ascii="Garamond" w:hAnsi="Garamond" w:cs="Arial"/>
          <w:color w:val="002060"/>
          <w:sz w:val="24"/>
          <w:szCs w:val="24"/>
        </w:rPr>
        <w:t xml:space="preserve">de </w:t>
      </w:r>
      <w:r w:rsidR="00582E3B" w:rsidRPr="00FE57FC">
        <w:rPr>
          <w:rFonts w:ascii="Garamond" w:hAnsi="Garamond" w:cs="Arial"/>
          <w:color w:val="002060"/>
          <w:sz w:val="24"/>
          <w:szCs w:val="24"/>
        </w:rPr>
        <w:t xml:space="preserve">Crédito </w:t>
      </w:r>
      <w:r w:rsidRPr="00FE57FC">
        <w:rPr>
          <w:rFonts w:ascii="Garamond" w:hAnsi="Garamond" w:cs="Arial"/>
          <w:color w:val="002060"/>
          <w:sz w:val="24"/>
          <w:szCs w:val="24"/>
        </w:rPr>
        <w:t xml:space="preserve">à </w:t>
      </w:r>
      <w:r w:rsidR="00582E3B" w:rsidRPr="00FE57FC">
        <w:rPr>
          <w:rFonts w:ascii="Garamond" w:hAnsi="Garamond" w:cs="Arial"/>
          <w:color w:val="002060"/>
          <w:sz w:val="24"/>
          <w:szCs w:val="24"/>
        </w:rPr>
        <w:t xml:space="preserve">Exportação </w:t>
      </w:r>
      <w:r w:rsidRPr="00FE57FC">
        <w:rPr>
          <w:rFonts w:ascii="Garamond" w:hAnsi="Garamond" w:cs="Arial"/>
          <w:color w:val="002060"/>
          <w:sz w:val="24"/>
          <w:szCs w:val="24"/>
        </w:rPr>
        <w:t>ao amparo do FGE.</w:t>
      </w:r>
    </w:p>
    <w:p w14:paraId="69007C05" w14:textId="77777777" w:rsidR="00545798" w:rsidRPr="00367B91" w:rsidRDefault="00545798" w:rsidP="00ED1833">
      <w:pPr>
        <w:tabs>
          <w:tab w:val="left" w:pos="1418"/>
        </w:tabs>
        <w:jc w:val="both"/>
        <w:rPr>
          <w:rFonts w:ascii="Garamond" w:hAnsi="Garamond" w:cs="Arial"/>
          <w:color w:val="002060"/>
          <w:sz w:val="24"/>
          <w:szCs w:val="24"/>
        </w:rPr>
      </w:pPr>
      <w:r w:rsidRPr="00367B91">
        <w:rPr>
          <w:rFonts w:ascii="Garamond" w:hAnsi="Garamond" w:cs="Arial"/>
          <w:color w:val="002060"/>
          <w:sz w:val="24"/>
          <w:szCs w:val="24"/>
        </w:rPr>
        <w:t xml:space="preserve">A </w:t>
      </w:r>
      <w:r w:rsidR="0034536B" w:rsidRPr="00367B91">
        <w:rPr>
          <w:rFonts w:ascii="Garamond" w:hAnsi="Garamond" w:cs="Arial"/>
          <w:color w:val="002060"/>
          <w:sz w:val="24"/>
          <w:szCs w:val="24"/>
        </w:rPr>
        <w:t>Empresa</w:t>
      </w:r>
      <w:r w:rsidRPr="00367B91">
        <w:rPr>
          <w:rFonts w:ascii="Garamond" w:hAnsi="Garamond" w:cs="Arial"/>
          <w:color w:val="002060"/>
          <w:sz w:val="24"/>
          <w:szCs w:val="24"/>
        </w:rPr>
        <w:t xml:space="preserve"> conduz a gestão de garantias de seguro de crédito à exportação para grandes companhias, em operações com prazo superior a dois anos, denominadas de Médio e Longo Prazo (MLP). Em decorrência de restrição orçamentária e revisão do modelo de apoio oficial à exportação, as garantias para operações de Micro, Pequenas e Médias Empresas (MPMEs), encontram-se suspensas.</w:t>
      </w:r>
    </w:p>
    <w:p w14:paraId="52A2B23E" w14:textId="7CCAC69F" w:rsidR="00545798" w:rsidRPr="00FE57FC" w:rsidRDefault="00545798" w:rsidP="00545798">
      <w:pPr>
        <w:tabs>
          <w:tab w:val="left" w:pos="1418"/>
        </w:tabs>
        <w:jc w:val="both"/>
        <w:rPr>
          <w:rFonts w:ascii="Garamond" w:hAnsi="Garamond" w:cs="Arial"/>
          <w:color w:val="002060"/>
          <w:sz w:val="24"/>
          <w:szCs w:val="24"/>
        </w:rPr>
      </w:pPr>
      <w:r w:rsidRPr="00FE57FC">
        <w:rPr>
          <w:rFonts w:ascii="Garamond" w:hAnsi="Garamond" w:cs="Arial"/>
          <w:color w:val="002060"/>
          <w:sz w:val="24"/>
          <w:szCs w:val="24"/>
        </w:rPr>
        <w:t>Cumpre registrar que, no ano de 2020 foi dada a continuidade nos trabalhos iniciados ainda em 2019, no sentido de realizar a transição das atividades da ABGF para a SE-CAMEX, ou a ente por ela indicado. Assim, a ABGF empenhou-se em elaborar manuais de procedimentos das atividades relacionadas ao Seguro de Crédito à Exportação objetivando possibilitar a transferência dos serviços.</w:t>
      </w:r>
    </w:p>
    <w:p w14:paraId="469CD9FA" w14:textId="7AD376C4" w:rsidR="00545798" w:rsidRPr="00FE57FC" w:rsidRDefault="00545798" w:rsidP="00545798">
      <w:pPr>
        <w:tabs>
          <w:tab w:val="left" w:pos="1418"/>
        </w:tabs>
        <w:jc w:val="both"/>
        <w:rPr>
          <w:rFonts w:ascii="Garamond" w:hAnsi="Garamond" w:cs="Arial"/>
          <w:color w:val="002060"/>
          <w:sz w:val="24"/>
          <w:szCs w:val="24"/>
        </w:rPr>
      </w:pPr>
      <w:r w:rsidRPr="00FE57FC">
        <w:rPr>
          <w:rFonts w:ascii="Garamond" w:hAnsi="Garamond" w:cs="Arial"/>
          <w:color w:val="002060"/>
          <w:sz w:val="24"/>
          <w:szCs w:val="24"/>
        </w:rPr>
        <w:t xml:space="preserve">No decorrer do ano a ABGF desenvolveu e disponibilizou o Sistema de Gerenciamento de Sinistros - SGS, que, além de conferir agilidade no processo de regulação de sinistros, mitiga riscos envolvendo cálculo de prazos e valores de indenizações. </w:t>
      </w:r>
      <w:r w:rsidR="009F33F1" w:rsidRPr="00FE57FC">
        <w:rPr>
          <w:rFonts w:ascii="Garamond" w:hAnsi="Garamond" w:cs="Arial"/>
          <w:color w:val="002060"/>
          <w:sz w:val="24"/>
          <w:szCs w:val="24"/>
        </w:rPr>
        <w:t>O</w:t>
      </w:r>
      <w:r w:rsidRPr="00FE57FC">
        <w:rPr>
          <w:rFonts w:ascii="Garamond" w:hAnsi="Garamond" w:cs="Arial"/>
          <w:color w:val="002060"/>
          <w:sz w:val="24"/>
          <w:szCs w:val="24"/>
        </w:rPr>
        <w:t xml:space="preserve"> novo sistema permeia todo o fluxo de regulação de sinistro, desde </w:t>
      </w:r>
      <w:r w:rsidR="009F33F1" w:rsidRPr="00FE57FC">
        <w:rPr>
          <w:rFonts w:ascii="Garamond" w:hAnsi="Garamond" w:cs="Arial"/>
          <w:color w:val="002060"/>
          <w:sz w:val="24"/>
          <w:szCs w:val="24"/>
        </w:rPr>
        <w:t xml:space="preserve">a sua comunicação </w:t>
      </w:r>
      <w:r w:rsidRPr="00FE57FC">
        <w:rPr>
          <w:rFonts w:ascii="Garamond" w:hAnsi="Garamond" w:cs="Arial"/>
          <w:color w:val="002060"/>
          <w:sz w:val="24"/>
          <w:szCs w:val="24"/>
        </w:rPr>
        <w:t xml:space="preserve">até </w:t>
      </w:r>
      <w:r w:rsidR="009F33F1" w:rsidRPr="00FE57FC">
        <w:rPr>
          <w:rFonts w:ascii="Garamond" w:hAnsi="Garamond" w:cs="Arial"/>
          <w:color w:val="002060"/>
          <w:sz w:val="24"/>
          <w:szCs w:val="24"/>
        </w:rPr>
        <w:t xml:space="preserve">a </w:t>
      </w:r>
      <w:r w:rsidRPr="00FE57FC">
        <w:rPr>
          <w:rFonts w:ascii="Garamond" w:hAnsi="Garamond" w:cs="Arial"/>
          <w:color w:val="002060"/>
          <w:sz w:val="24"/>
          <w:szCs w:val="24"/>
        </w:rPr>
        <w:t>sua indenização e sub-rogação, garantindo assim o armazenamento completo das documentações utilizadas no processo.</w:t>
      </w:r>
    </w:p>
    <w:p w14:paraId="0A63236A" w14:textId="1D803850" w:rsidR="00545798" w:rsidRPr="00FE57FC" w:rsidRDefault="00545798" w:rsidP="00545798">
      <w:pPr>
        <w:tabs>
          <w:tab w:val="left" w:pos="1418"/>
        </w:tabs>
        <w:jc w:val="both"/>
        <w:rPr>
          <w:rFonts w:ascii="Garamond" w:hAnsi="Garamond" w:cs="Arial"/>
          <w:color w:val="002060"/>
          <w:sz w:val="24"/>
          <w:szCs w:val="24"/>
        </w:rPr>
      </w:pPr>
      <w:r w:rsidRPr="00FE57FC">
        <w:rPr>
          <w:rFonts w:ascii="Garamond" w:hAnsi="Garamond" w:cs="Arial"/>
          <w:color w:val="002060"/>
          <w:sz w:val="24"/>
          <w:szCs w:val="24"/>
        </w:rPr>
        <w:t xml:space="preserve">Ao final de 2020 a SE-CAMEX estabeleceu grupos de trabalho com o intuito de remodelar o Sistema de Seguro de Crédito à Exportação, tendo como objetivos principais a desvinculação dos recursos do orçamento da União e aprimorar a Governança do </w:t>
      </w:r>
      <w:r w:rsidR="009F33F1" w:rsidRPr="00FE57FC">
        <w:rPr>
          <w:rFonts w:ascii="Garamond" w:hAnsi="Garamond" w:cs="Arial"/>
          <w:color w:val="002060"/>
          <w:sz w:val="24"/>
          <w:szCs w:val="24"/>
        </w:rPr>
        <w:t>Sistema</w:t>
      </w:r>
      <w:r w:rsidRPr="00FE57FC">
        <w:rPr>
          <w:rFonts w:ascii="Garamond" w:hAnsi="Garamond" w:cs="Arial"/>
          <w:color w:val="002060"/>
          <w:sz w:val="24"/>
          <w:szCs w:val="24"/>
        </w:rPr>
        <w:t xml:space="preserve">, trazendo mais celeridade e competitividade às exportações brasileiras. Nesse contexto a ABGF tem participado da formulação do novo modelo e continua realizando melhorias em seus processos de modo a apoiar as exportações brasileiras. </w:t>
      </w:r>
    </w:p>
    <w:p w14:paraId="185259F3" w14:textId="77777777" w:rsidR="003048E2" w:rsidRPr="00FE57FC" w:rsidRDefault="00582E3B" w:rsidP="003048E2">
      <w:pPr>
        <w:pStyle w:val="Ttulo3"/>
        <w:rPr>
          <w:rFonts w:ascii="Garamond" w:hAnsi="Garamond"/>
          <w:color w:val="002060"/>
        </w:rPr>
      </w:pPr>
      <w:r w:rsidRPr="00FE57FC">
        <w:rPr>
          <w:rFonts w:ascii="Garamond" w:hAnsi="Garamond"/>
          <w:color w:val="002060"/>
        </w:rPr>
        <w:t xml:space="preserve">2.3 </w:t>
      </w:r>
      <w:r w:rsidR="003048E2" w:rsidRPr="00FE57FC">
        <w:rPr>
          <w:rFonts w:ascii="Garamond" w:hAnsi="Garamond"/>
          <w:color w:val="002060"/>
        </w:rPr>
        <w:t xml:space="preserve">Fundo de Estabilidade do Seguro Rural – FESR </w:t>
      </w:r>
    </w:p>
    <w:p w14:paraId="2A517AD9" w14:textId="77777777" w:rsidR="003322BC" w:rsidRPr="00FE57FC" w:rsidRDefault="003048E2" w:rsidP="003322BC">
      <w:pPr>
        <w:jc w:val="both"/>
        <w:rPr>
          <w:rFonts w:ascii="Garamond" w:hAnsi="Garamond" w:cs="Arial"/>
          <w:color w:val="002060"/>
          <w:sz w:val="24"/>
          <w:szCs w:val="24"/>
        </w:rPr>
      </w:pPr>
      <w:r w:rsidRPr="00FE57FC">
        <w:rPr>
          <w:rFonts w:ascii="Garamond" w:hAnsi="Garamond" w:cs="Arial"/>
          <w:color w:val="002060"/>
          <w:sz w:val="24"/>
          <w:szCs w:val="24"/>
        </w:rPr>
        <w:t xml:space="preserve">O FESR, criado por meio do Decreto-Lei nº 73/1966, tem por finalidade manter e garantir o equilíbrio das operações do seguro rural no </w:t>
      </w:r>
      <w:r w:rsidR="00AE2800" w:rsidRPr="00FE57FC">
        <w:rPr>
          <w:rFonts w:ascii="Garamond" w:hAnsi="Garamond" w:cs="Arial"/>
          <w:color w:val="002060"/>
          <w:sz w:val="24"/>
          <w:szCs w:val="24"/>
        </w:rPr>
        <w:t>P</w:t>
      </w:r>
      <w:r w:rsidRPr="00FE57FC">
        <w:rPr>
          <w:rFonts w:ascii="Garamond" w:hAnsi="Garamond" w:cs="Arial"/>
          <w:color w:val="002060"/>
          <w:sz w:val="24"/>
          <w:szCs w:val="24"/>
        </w:rPr>
        <w:t>aís, bem como atender à cobertura suplementar dos riscos de catástrofe inerentes às atividades rurais. Estão abrangidas pelas regras do FESR as seguintes modalidades de seguro: Agrícola, Pecuário, Aquícola, Florestais e de Penhor Rural.</w:t>
      </w:r>
    </w:p>
    <w:p w14:paraId="12E299D2" w14:textId="77777777" w:rsidR="0034536B" w:rsidRPr="00FE57FC" w:rsidRDefault="0034536B" w:rsidP="00A23546">
      <w:pPr>
        <w:jc w:val="both"/>
        <w:rPr>
          <w:rFonts w:ascii="Garamond" w:hAnsi="Garamond" w:cs="Arial"/>
          <w:color w:val="002060"/>
          <w:sz w:val="24"/>
          <w:szCs w:val="24"/>
        </w:rPr>
      </w:pPr>
      <w:r w:rsidRPr="00FE57FC">
        <w:rPr>
          <w:rFonts w:ascii="Garamond" w:hAnsi="Garamond" w:cs="Arial"/>
          <w:color w:val="002060"/>
          <w:sz w:val="24"/>
          <w:szCs w:val="24"/>
        </w:rPr>
        <w:t xml:space="preserve">Desde julho de 2015, a ABGF é encarregada da gestão do Fundo de Estabilidade do Seguro Rural até a completa liquidação das obrigações do Fundo, conforme previsto na Lei </w:t>
      </w:r>
      <w:r w:rsidR="009F33F1" w:rsidRPr="00FE57FC">
        <w:rPr>
          <w:rFonts w:ascii="Garamond" w:hAnsi="Garamond" w:cs="Arial"/>
          <w:color w:val="002060"/>
          <w:sz w:val="24"/>
          <w:szCs w:val="24"/>
        </w:rPr>
        <w:t xml:space="preserve">nº </w:t>
      </w:r>
      <w:r w:rsidRPr="00FE57FC">
        <w:rPr>
          <w:rFonts w:ascii="Garamond" w:hAnsi="Garamond" w:cs="Arial"/>
          <w:color w:val="002060"/>
          <w:sz w:val="24"/>
          <w:szCs w:val="24"/>
        </w:rPr>
        <w:t xml:space="preserve">13.195, de 25.11.2015, que alterou a Lei </w:t>
      </w:r>
      <w:r w:rsidR="009F33F1" w:rsidRPr="00FE57FC">
        <w:rPr>
          <w:rFonts w:ascii="Garamond" w:hAnsi="Garamond" w:cs="Arial"/>
          <w:color w:val="002060"/>
          <w:sz w:val="24"/>
          <w:szCs w:val="24"/>
        </w:rPr>
        <w:t xml:space="preserve">nº </w:t>
      </w:r>
      <w:r w:rsidRPr="00FE57FC">
        <w:rPr>
          <w:rFonts w:ascii="Garamond" w:hAnsi="Garamond" w:cs="Arial"/>
          <w:color w:val="002060"/>
          <w:sz w:val="24"/>
          <w:szCs w:val="24"/>
        </w:rPr>
        <w:t xml:space="preserve">12.712, de 30.08.2012. O exercício social do FESR, de acordo com a Resolução do Conselho Nacional de Seguros Privados (CNSP) nº 339/2016, é de 1º de janeiro até 31 de dezembro do mesmo ano. </w:t>
      </w:r>
    </w:p>
    <w:p w14:paraId="1A33CF9A" w14:textId="77777777" w:rsidR="0034536B" w:rsidRPr="00FE57FC" w:rsidRDefault="0034536B" w:rsidP="00A23546">
      <w:pPr>
        <w:jc w:val="both"/>
        <w:rPr>
          <w:rFonts w:ascii="Garamond" w:hAnsi="Garamond" w:cs="Arial"/>
          <w:color w:val="002060"/>
          <w:sz w:val="24"/>
          <w:szCs w:val="24"/>
        </w:rPr>
      </w:pPr>
      <w:r w:rsidRPr="00FE57FC">
        <w:rPr>
          <w:rFonts w:ascii="Garamond" w:hAnsi="Garamond" w:cs="Arial"/>
          <w:color w:val="002060"/>
          <w:sz w:val="24"/>
          <w:szCs w:val="24"/>
        </w:rPr>
        <w:lastRenderedPageBreak/>
        <w:t xml:space="preserve">Em 12 de junho de 2017, foi publicado o Decreto nº 9078, que dispõe sobre a remuneração da ABGF pela gestão do Fundo de Estabilidade do Seguro Rural, resultando em percepção de receita, a partir de 13 de julho de 2017, pela ABGF. </w:t>
      </w:r>
    </w:p>
    <w:p w14:paraId="50B01745" w14:textId="5AFD1952" w:rsidR="00A23546" w:rsidRPr="00FE57FC" w:rsidRDefault="00A23546" w:rsidP="00A23546">
      <w:pPr>
        <w:jc w:val="both"/>
        <w:rPr>
          <w:rFonts w:ascii="Garamond" w:hAnsi="Garamond" w:cs="Arial"/>
          <w:color w:val="002060"/>
          <w:sz w:val="24"/>
          <w:szCs w:val="24"/>
        </w:rPr>
      </w:pPr>
      <w:r w:rsidRPr="00FE57FC">
        <w:rPr>
          <w:rFonts w:ascii="Garamond" w:hAnsi="Garamond" w:cs="Arial"/>
          <w:color w:val="002060"/>
          <w:sz w:val="24"/>
          <w:szCs w:val="24"/>
        </w:rPr>
        <w:t>A ABGF desenvolveu internamente o Sistema de Gestão do FESR (SGFESR), com o objetivo de aprimorar e modernizar o processo de apuração do Fundo e a comunicação entre a ABGF e as seguradoras participantes, permitindo o recebimento de documentação das seguradoras, além de consolidar em ambiente acessível, via internet, os dados dos participantes do Fundo. O SGFESR é utilizado para realizar todo o procedimento de gestão do Fundo e apuração de seus resultados, racionalizando recursos e automatizando processos</w:t>
      </w:r>
      <w:r w:rsidR="009F33F1" w:rsidRPr="00FE57FC">
        <w:rPr>
          <w:rFonts w:ascii="Garamond" w:hAnsi="Garamond" w:cs="Arial"/>
          <w:color w:val="002060"/>
          <w:sz w:val="24"/>
          <w:szCs w:val="24"/>
        </w:rPr>
        <w:t>. Esse sistema</w:t>
      </w:r>
      <w:r w:rsidRPr="00FE57FC">
        <w:rPr>
          <w:rFonts w:ascii="Garamond" w:hAnsi="Garamond" w:cs="Arial"/>
          <w:color w:val="002060"/>
          <w:sz w:val="24"/>
          <w:szCs w:val="24"/>
        </w:rPr>
        <w:t xml:space="preserve"> vem sendo continuamente aprimorado para conferir maior celeridade, segurança e transparência a todas as etapas de apuração do resultado do Fundo.</w:t>
      </w:r>
    </w:p>
    <w:p w14:paraId="0E79811E" w14:textId="3AC14AD6" w:rsidR="00A23546" w:rsidRPr="00FE57FC" w:rsidRDefault="0034536B" w:rsidP="00A23546">
      <w:pPr>
        <w:jc w:val="both"/>
        <w:rPr>
          <w:rFonts w:ascii="Garamond" w:hAnsi="Garamond" w:cs="Arial"/>
          <w:color w:val="002060"/>
          <w:sz w:val="24"/>
          <w:szCs w:val="24"/>
        </w:rPr>
      </w:pPr>
      <w:r w:rsidRPr="00FE57FC">
        <w:rPr>
          <w:rFonts w:ascii="Garamond" w:hAnsi="Garamond" w:cs="Arial"/>
          <w:color w:val="002060"/>
          <w:sz w:val="24"/>
          <w:szCs w:val="24"/>
        </w:rPr>
        <w:t>Em 31</w:t>
      </w:r>
      <w:r w:rsidR="00EC6C52" w:rsidRPr="00FE57FC">
        <w:rPr>
          <w:rFonts w:ascii="Garamond" w:hAnsi="Garamond" w:cs="Arial"/>
          <w:color w:val="002060"/>
          <w:sz w:val="24"/>
          <w:szCs w:val="24"/>
        </w:rPr>
        <w:t>.12.</w:t>
      </w:r>
      <w:r w:rsidRPr="00FE57FC">
        <w:rPr>
          <w:rFonts w:ascii="Garamond" w:hAnsi="Garamond" w:cs="Arial"/>
          <w:color w:val="002060"/>
          <w:sz w:val="24"/>
          <w:szCs w:val="24"/>
        </w:rPr>
        <w:t>2020 o Patrimônio Líquido do Fundo era de R$ 3,7</w:t>
      </w:r>
      <w:r w:rsidR="009F33F1" w:rsidRPr="00FE57FC">
        <w:rPr>
          <w:rFonts w:ascii="Garamond" w:hAnsi="Garamond" w:cs="Arial"/>
          <w:color w:val="002060"/>
          <w:sz w:val="24"/>
          <w:szCs w:val="24"/>
        </w:rPr>
        <w:t>1</w:t>
      </w:r>
      <w:r w:rsidRPr="00FE57FC">
        <w:rPr>
          <w:rFonts w:ascii="Garamond" w:hAnsi="Garamond" w:cs="Arial"/>
          <w:color w:val="002060"/>
          <w:sz w:val="24"/>
          <w:szCs w:val="24"/>
        </w:rPr>
        <w:t xml:space="preserve"> bilhões</w:t>
      </w:r>
      <w:r w:rsidR="00A23546" w:rsidRPr="00FE57FC">
        <w:rPr>
          <w:rFonts w:ascii="Garamond" w:hAnsi="Garamond" w:cs="Arial"/>
          <w:color w:val="002060"/>
          <w:sz w:val="24"/>
          <w:szCs w:val="24"/>
        </w:rPr>
        <w:t xml:space="preserve"> </w:t>
      </w:r>
    </w:p>
    <w:p w14:paraId="665B2793" w14:textId="77777777" w:rsidR="003048E2" w:rsidRPr="00FE57FC" w:rsidRDefault="002F1A91" w:rsidP="003048E2">
      <w:pPr>
        <w:pStyle w:val="Ttulo3"/>
        <w:rPr>
          <w:rFonts w:ascii="Garamond" w:hAnsi="Garamond"/>
          <w:color w:val="002060"/>
        </w:rPr>
      </w:pPr>
      <w:r w:rsidRPr="00FE57FC">
        <w:rPr>
          <w:rFonts w:ascii="Garamond" w:hAnsi="Garamond"/>
          <w:color w:val="002060"/>
        </w:rPr>
        <w:t xml:space="preserve">2.4 </w:t>
      </w:r>
      <w:r w:rsidR="003048E2" w:rsidRPr="00FE57FC">
        <w:rPr>
          <w:rFonts w:ascii="Garamond" w:hAnsi="Garamond"/>
          <w:color w:val="002060"/>
        </w:rPr>
        <w:t>Fundo de Indenizações do Seguro Obrigatório de Embarcações</w:t>
      </w:r>
      <w:r w:rsidRPr="00FE57FC">
        <w:rPr>
          <w:rFonts w:ascii="Garamond" w:hAnsi="Garamond"/>
          <w:color w:val="002060"/>
        </w:rPr>
        <w:t xml:space="preserve"> - DPEM</w:t>
      </w:r>
    </w:p>
    <w:p w14:paraId="520A1DC6" w14:textId="77777777" w:rsidR="003048E2" w:rsidRPr="00FE57FC" w:rsidRDefault="003048E2" w:rsidP="003048E2">
      <w:pPr>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 xml:space="preserve">O </w:t>
      </w:r>
      <w:r w:rsidR="002F1A91" w:rsidRPr="00FE57FC">
        <w:rPr>
          <w:rFonts w:ascii="Garamond" w:eastAsia="Klavika-Bold" w:hAnsi="Garamond" w:cs="Arial"/>
          <w:bCs/>
          <w:color w:val="002060"/>
          <w:sz w:val="24"/>
          <w:szCs w:val="24"/>
        </w:rPr>
        <w:t xml:space="preserve">fundo </w:t>
      </w:r>
      <w:r w:rsidRPr="00FE57FC">
        <w:rPr>
          <w:rFonts w:ascii="Garamond" w:eastAsia="Klavika-Bold" w:hAnsi="Garamond" w:cs="Arial"/>
          <w:bCs/>
          <w:color w:val="002060"/>
          <w:sz w:val="24"/>
          <w:szCs w:val="24"/>
        </w:rPr>
        <w:t xml:space="preserve">FUNDPEM teve sua criação autorizada pela Lei nº 13.313/2016, que alterou as Leis nº 12.712/2012 e 8.374/1991, e é destinado para a cobertura de indenizações por morte ou por invalidez permanente, bem como das despesas de assistência médica e suplementares, causadas exclusivamente por acidentes com embarcações não identificadas ou que estejam inadimplentes quanto ao pagamento do seguro </w:t>
      </w:r>
      <w:bookmarkStart w:id="20" w:name="page23"/>
      <w:bookmarkEnd w:id="20"/>
      <w:r w:rsidRPr="00FE57FC">
        <w:rPr>
          <w:rFonts w:ascii="Garamond" w:eastAsia="Klavika-Bold" w:hAnsi="Garamond" w:cs="Arial"/>
          <w:bCs/>
          <w:color w:val="002060"/>
          <w:sz w:val="24"/>
          <w:szCs w:val="24"/>
        </w:rPr>
        <w:t xml:space="preserve">obrigatório DPEM. </w:t>
      </w:r>
      <w:r w:rsidR="002F1A91" w:rsidRPr="00FE57FC">
        <w:rPr>
          <w:rFonts w:ascii="Garamond" w:eastAsia="Klavika-Bold" w:hAnsi="Garamond" w:cs="Arial"/>
          <w:bCs/>
          <w:color w:val="002060"/>
          <w:sz w:val="24"/>
          <w:szCs w:val="24"/>
        </w:rPr>
        <w:t xml:space="preserve">É administrado, gerido e representado pela ABGF. </w:t>
      </w:r>
      <w:r w:rsidRPr="00FE57FC">
        <w:rPr>
          <w:rFonts w:ascii="Garamond" w:eastAsia="Klavika-Bold" w:hAnsi="Garamond" w:cs="Arial"/>
          <w:bCs/>
          <w:color w:val="002060"/>
          <w:sz w:val="24"/>
          <w:szCs w:val="24"/>
        </w:rPr>
        <w:t>Nos termos da legislação, as indenizações passa</w:t>
      </w:r>
      <w:r w:rsidR="002F1A91" w:rsidRPr="00FE57FC">
        <w:rPr>
          <w:rFonts w:ascii="Garamond" w:eastAsia="Klavika-Bold" w:hAnsi="Garamond" w:cs="Arial"/>
          <w:bCs/>
          <w:color w:val="002060"/>
          <w:sz w:val="24"/>
          <w:szCs w:val="24"/>
        </w:rPr>
        <w:t>ra</w:t>
      </w:r>
      <w:r w:rsidRPr="00FE57FC">
        <w:rPr>
          <w:rFonts w:ascii="Garamond" w:eastAsia="Klavika-Bold" w:hAnsi="Garamond" w:cs="Arial"/>
          <w:bCs/>
          <w:color w:val="002060"/>
          <w:sz w:val="24"/>
          <w:szCs w:val="24"/>
        </w:rPr>
        <w:t xml:space="preserve">m a ser devidas por esse fundo de direito privado, o qual foi constituído </w:t>
      </w:r>
      <w:r w:rsidR="00EC6C52" w:rsidRPr="00FE57FC">
        <w:rPr>
          <w:rFonts w:ascii="Garamond" w:eastAsia="Klavika-Bold" w:hAnsi="Garamond" w:cs="Arial"/>
          <w:bCs/>
          <w:color w:val="002060"/>
          <w:sz w:val="24"/>
          <w:szCs w:val="24"/>
        </w:rPr>
        <w:t xml:space="preserve">pela ABGF </w:t>
      </w:r>
      <w:r w:rsidRPr="00FE57FC">
        <w:rPr>
          <w:rFonts w:ascii="Garamond" w:eastAsia="Klavika-Bold" w:hAnsi="Garamond" w:cs="Arial"/>
          <w:bCs/>
          <w:color w:val="002060"/>
          <w:sz w:val="24"/>
          <w:szCs w:val="24"/>
        </w:rPr>
        <w:t>em 23</w:t>
      </w:r>
      <w:r w:rsidR="00EC6C52" w:rsidRPr="00FE57FC">
        <w:rPr>
          <w:rFonts w:ascii="Garamond" w:eastAsia="Klavika-Bold" w:hAnsi="Garamond" w:cs="Arial"/>
          <w:bCs/>
          <w:color w:val="002060"/>
          <w:sz w:val="24"/>
          <w:szCs w:val="24"/>
        </w:rPr>
        <w:t>.01.</w:t>
      </w:r>
      <w:r w:rsidRPr="00FE57FC">
        <w:rPr>
          <w:rFonts w:ascii="Garamond" w:eastAsia="Klavika-Bold" w:hAnsi="Garamond" w:cs="Arial"/>
          <w:bCs/>
          <w:color w:val="002060"/>
          <w:sz w:val="24"/>
          <w:szCs w:val="24"/>
        </w:rPr>
        <w:t>2018</w:t>
      </w:r>
      <w:r w:rsidR="00EC6C52" w:rsidRPr="00FE57FC">
        <w:rPr>
          <w:rFonts w:ascii="Garamond" w:eastAsia="Klavika-Bold" w:hAnsi="Garamond" w:cs="Arial"/>
          <w:bCs/>
          <w:color w:val="002060"/>
          <w:sz w:val="24"/>
          <w:szCs w:val="24"/>
        </w:rPr>
        <w:t xml:space="preserve"> e é por ela administrado, gerido e representado</w:t>
      </w:r>
      <w:r w:rsidR="0020675F" w:rsidRPr="00FE57FC">
        <w:rPr>
          <w:rFonts w:ascii="Garamond" w:eastAsia="Klavika-Bold" w:hAnsi="Garamond" w:cs="Arial"/>
          <w:bCs/>
          <w:color w:val="002060"/>
          <w:sz w:val="24"/>
          <w:szCs w:val="24"/>
        </w:rPr>
        <w:t xml:space="preserve">. </w:t>
      </w:r>
      <w:r w:rsidRPr="00FE57FC">
        <w:rPr>
          <w:rFonts w:ascii="Garamond" w:eastAsia="Klavika-Bold" w:hAnsi="Garamond" w:cs="Arial"/>
          <w:bCs/>
          <w:color w:val="002060"/>
          <w:sz w:val="24"/>
          <w:szCs w:val="24"/>
        </w:rPr>
        <w:t xml:space="preserve"> </w:t>
      </w:r>
    </w:p>
    <w:p w14:paraId="692519EE" w14:textId="304E63B7" w:rsidR="003048E2" w:rsidRPr="00FE57FC" w:rsidRDefault="003048E2" w:rsidP="003048E2">
      <w:pPr>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 xml:space="preserve">A referida </w:t>
      </w:r>
      <w:r w:rsidR="002F1A91" w:rsidRPr="00FE57FC">
        <w:rPr>
          <w:rFonts w:ascii="Garamond" w:eastAsia="Klavika-Bold" w:hAnsi="Garamond" w:cs="Arial"/>
          <w:bCs/>
          <w:color w:val="002060"/>
          <w:sz w:val="24"/>
          <w:szCs w:val="24"/>
        </w:rPr>
        <w:t xml:space="preserve">lei </w:t>
      </w:r>
      <w:r w:rsidRPr="00FE57FC">
        <w:rPr>
          <w:rFonts w:ascii="Garamond" w:eastAsia="Klavika-Bold" w:hAnsi="Garamond" w:cs="Arial"/>
          <w:bCs/>
          <w:color w:val="002060"/>
          <w:sz w:val="24"/>
          <w:szCs w:val="24"/>
        </w:rPr>
        <w:t>estabelece que o patrimônio do FUNDPEM se</w:t>
      </w:r>
      <w:r w:rsidR="009F33F1" w:rsidRPr="00FE57FC">
        <w:rPr>
          <w:rFonts w:ascii="Garamond" w:eastAsia="Klavika-Bold" w:hAnsi="Garamond" w:cs="Arial"/>
          <w:bCs/>
          <w:color w:val="002060"/>
          <w:sz w:val="24"/>
          <w:szCs w:val="24"/>
        </w:rPr>
        <w:t>ja</w:t>
      </w:r>
      <w:r w:rsidRPr="00FE57FC">
        <w:rPr>
          <w:rFonts w:ascii="Garamond" w:eastAsia="Klavika-Bold" w:hAnsi="Garamond" w:cs="Arial"/>
          <w:bCs/>
          <w:color w:val="002060"/>
          <w:sz w:val="24"/>
          <w:szCs w:val="24"/>
        </w:rPr>
        <w:t xml:space="preserve"> formado por parcela dos prêmios arrecadados pelo seguro DPEM, pelo resultado das aplicações financeiras dos seus recursos e por outras fontes definidas pelo CNSP. A </w:t>
      </w:r>
      <w:r w:rsidR="002F1A91" w:rsidRPr="00FE57FC">
        <w:rPr>
          <w:rFonts w:ascii="Garamond" w:eastAsia="Klavika-Bold" w:hAnsi="Garamond" w:cs="Arial"/>
          <w:bCs/>
          <w:color w:val="002060"/>
          <w:sz w:val="24"/>
          <w:szCs w:val="24"/>
        </w:rPr>
        <w:t xml:space="preserve">lei </w:t>
      </w:r>
      <w:r w:rsidRPr="00FE57FC">
        <w:rPr>
          <w:rFonts w:ascii="Garamond" w:eastAsia="Klavika-Bold" w:hAnsi="Garamond" w:cs="Arial"/>
          <w:bCs/>
          <w:color w:val="002060"/>
          <w:sz w:val="24"/>
          <w:szCs w:val="24"/>
        </w:rPr>
        <w:t>define, ainda, que o FUNDPEM somente poderá indenizar se houver disponibilidade de recursos gerados pelos prêmios de seguros cobrados pelas seguradoras privadas no DPEM.</w:t>
      </w:r>
    </w:p>
    <w:p w14:paraId="4F60B9F8" w14:textId="77777777" w:rsidR="003048E2" w:rsidRPr="00FE57FC" w:rsidRDefault="003048E2" w:rsidP="003048E2">
      <w:pPr>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A legislação define que o CNSP disporá sobre as obrigações, os prazos para a implementação e a remuneração devida à administradora do fundo. Contudo, deve-se observar que a partir de abril de 2016 o mercado segurador privado deixou de oferecer o seguro DPEM, motivo pelo qual se tornou sem efeito a exigência de sua obrigatoriedade, nos termos do § 3º do art. 14 da Lei nº 8.374/1991, o que impossibilitou a formação do patrimônio do FUNDPEM</w:t>
      </w:r>
      <w:r w:rsidR="00EC6C52" w:rsidRPr="00FE57FC">
        <w:rPr>
          <w:rFonts w:ascii="Garamond" w:eastAsia="Klavika-Bold" w:hAnsi="Garamond" w:cs="Arial"/>
          <w:bCs/>
          <w:color w:val="002060"/>
          <w:sz w:val="24"/>
          <w:szCs w:val="24"/>
        </w:rPr>
        <w:t>, de forma que o Fundo não se encontra em operação</w:t>
      </w:r>
      <w:r w:rsidRPr="00FE57FC">
        <w:rPr>
          <w:rFonts w:ascii="Garamond" w:eastAsia="Klavika-Bold" w:hAnsi="Garamond" w:cs="Arial"/>
          <w:bCs/>
          <w:color w:val="002060"/>
          <w:sz w:val="24"/>
          <w:szCs w:val="24"/>
        </w:rPr>
        <w:t xml:space="preserve">. </w:t>
      </w:r>
    </w:p>
    <w:p w14:paraId="2B3A1BA9" w14:textId="77777777" w:rsidR="00895827" w:rsidRPr="00FE57FC" w:rsidRDefault="004425AF" w:rsidP="003048E2">
      <w:pPr>
        <w:spacing w:before="120" w:after="120" w:line="240" w:lineRule="auto"/>
        <w:jc w:val="both"/>
        <w:rPr>
          <w:rFonts w:ascii="Garamond" w:hAnsi="Garamond" w:cs="Arial"/>
          <w:b/>
          <w:color w:val="002060"/>
          <w:sz w:val="24"/>
          <w:szCs w:val="24"/>
        </w:rPr>
      </w:pPr>
      <w:r w:rsidRPr="00FE57FC">
        <w:rPr>
          <w:rFonts w:ascii="Garamond" w:hAnsi="Garamond" w:cs="Arial"/>
          <w:b/>
          <w:color w:val="002060"/>
          <w:sz w:val="24"/>
          <w:szCs w:val="24"/>
        </w:rPr>
        <w:t>3. Metas relativas ao desenvolvimento de atividades que atendam aos objetivos de políticas públicas.</w:t>
      </w:r>
    </w:p>
    <w:p w14:paraId="6F43FA82" w14:textId="77777777" w:rsidR="00A23546" w:rsidRPr="00FE57FC" w:rsidRDefault="00A23546" w:rsidP="00A23546">
      <w:pPr>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A ABGF revisou, em dezembro de 2019, seu Planejamento Estratégico para o ciclo 2020-2024. A revisão anual passa pela reavaliação dos direcionadores (missão, visão, diretrizes e objetivos estratégicos), da Matriz SWOT, bem como o conjunto de ações estratégicas necessárias para sua viabilização.</w:t>
      </w:r>
    </w:p>
    <w:p w14:paraId="1DEE3E72" w14:textId="7053E496" w:rsidR="00A23546" w:rsidRPr="00FE57FC" w:rsidRDefault="00A23546" w:rsidP="00A23546">
      <w:pPr>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lastRenderedPageBreak/>
        <w:t xml:space="preserve">As perspectivas diante da </w:t>
      </w:r>
      <w:r w:rsidR="00F6142F">
        <w:rPr>
          <w:rFonts w:ascii="Garamond" w:eastAsia="Klavika-Bold" w:hAnsi="Garamond" w:cs="Arial"/>
          <w:bCs/>
          <w:color w:val="002060"/>
          <w:sz w:val="24"/>
          <w:szCs w:val="24"/>
        </w:rPr>
        <w:t>qualificação</w:t>
      </w:r>
      <w:r w:rsidRPr="00FE57FC">
        <w:rPr>
          <w:rFonts w:ascii="Garamond" w:eastAsia="Klavika-Bold" w:hAnsi="Garamond" w:cs="Arial"/>
          <w:bCs/>
          <w:color w:val="002060"/>
          <w:sz w:val="24"/>
          <w:szCs w:val="24"/>
        </w:rPr>
        <w:t xml:space="preserve"> da ABGF no PND, por meio do Decreto nº 10.007/2019, direcionaram para que a ABGF atuasse em um novo patamar sem perder a perspectiva de execução de sua política</w:t>
      </w:r>
      <w:r w:rsidR="00F6142F">
        <w:rPr>
          <w:rFonts w:ascii="Garamond" w:eastAsia="Klavika-Bold" w:hAnsi="Garamond" w:cs="Arial"/>
          <w:bCs/>
          <w:color w:val="002060"/>
          <w:sz w:val="24"/>
          <w:szCs w:val="24"/>
        </w:rPr>
        <w:t xml:space="preserve"> pública</w:t>
      </w:r>
      <w:r w:rsidRPr="00FE57FC">
        <w:rPr>
          <w:rFonts w:ascii="Garamond" w:eastAsia="Klavika-Bold" w:hAnsi="Garamond" w:cs="Arial"/>
          <w:bCs/>
          <w:color w:val="002060"/>
          <w:sz w:val="24"/>
          <w:szCs w:val="24"/>
        </w:rPr>
        <w:t>. Diante desse contexto, a identidade estratégica foi reformulada, com alteração na missão, visão e valores, além do realinhamento das diretrizes estratégicas</w:t>
      </w:r>
      <w:r w:rsidR="00F6142F">
        <w:rPr>
          <w:rFonts w:ascii="Garamond" w:eastAsia="Klavika-Bold" w:hAnsi="Garamond" w:cs="Arial"/>
          <w:bCs/>
          <w:color w:val="002060"/>
          <w:sz w:val="24"/>
          <w:szCs w:val="24"/>
        </w:rPr>
        <w:t xml:space="preserve">. </w:t>
      </w:r>
    </w:p>
    <w:p w14:paraId="57DE6092" w14:textId="1C5F76B4" w:rsidR="00A23546" w:rsidRPr="00FE57FC" w:rsidRDefault="00A23546" w:rsidP="00A23546">
      <w:pPr>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As diretrizes estratégicas tiveram como principal foco a conformidade e a integridade das ações a serem desenvolvidas pela Empresa, buscando a efetividade no cumprimento das orientações governamentais</w:t>
      </w:r>
      <w:r w:rsidR="00D7736B">
        <w:rPr>
          <w:rFonts w:ascii="Garamond" w:eastAsia="Klavika-Bold" w:hAnsi="Garamond" w:cs="Arial"/>
          <w:bCs/>
          <w:color w:val="002060"/>
          <w:sz w:val="24"/>
          <w:szCs w:val="24"/>
        </w:rPr>
        <w:t>.</w:t>
      </w:r>
    </w:p>
    <w:p w14:paraId="092BB3FC" w14:textId="77777777" w:rsidR="00A23546" w:rsidRPr="00FE57FC" w:rsidRDefault="00A23546" w:rsidP="00A23546">
      <w:pPr>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Os objetivos estratégicos foram alterados para atender as disposições regulamentares e as ações estratégicas ajustadas de forma a concentrar os esforços organizacionais que proporcionariam o alcance dos desafios propostos.</w:t>
      </w:r>
    </w:p>
    <w:p w14:paraId="6CA47015" w14:textId="77777777" w:rsidR="00A23546" w:rsidRPr="00FE57FC" w:rsidRDefault="00A23546" w:rsidP="00A23546">
      <w:pPr>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Para mensurar seu alcance, foram estabelecidos dois indicadores e metas, que permitiriam avaliar, ao longo do ano, o desempenho organizacional. São eles: retorno sobre patrimônio líquido e equilíbrio econômico-financeiro.</w:t>
      </w:r>
      <w:r w:rsidR="00240D79" w:rsidRPr="00FE57FC">
        <w:rPr>
          <w:rFonts w:ascii="Garamond" w:eastAsia="Klavika-Bold" w:hAnsi="Garamond" w:cs="Arial"/>
          <w:bCs/>
          <w:color w:val="002060"/>
          <w:sz w:val="24"/>
          <w:szCs w:val="24"/>
        </w:rPr>
        <w:t xml:space="preserve"> </w:t>
      </w:r>
    </w:p>
    <w:p w14:paraId="7B6CD5E7" w14:textId="77777777" w:rsidR="00240D79" w:rsidRPr="00FE57FC" w:rsidRDefault="00240D79" w:rsidP="00240D79">
      <w:pPr>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O quadro demonstrativo abaixo apresenta de forma consolidada os indicadores e resultados alcançados</w:t>
      </w:r>
      <w:r w:rsidR="00035084" w:rsidRPr="00FE57FC">
        <w:rPr>
          <w:rFonts w:ascii="Garamond" w:eastAsia="Klavika-Bold" w:hAnsi="Garamond" w:cs="Arial"/>
          <w:bCs/>
          <w:color w:val="002060"/>
          <w:sz w:val="24"/>
          <w:szCs w:val="24"/>
        </w:rPr>
        <w:t xml:space="preserve">: </w:t>
      </w:r>
    </w:p>
    <w:tbl>
      <w:tblPr>
        <w:tblStyle w:val="Tabelacomgrade"/>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3446"/>
        <w:gridCol w:w="739"/>
        <w:gridCol w:w="1239"/>
      </w:tblGrid>
      <w:tr w:rsidR="00FE57FC" w:rsidRPr="00FE57FC" w14:paraId="403ED5DA" w14:textId="77777777" w:rsidTr="00FE57FC">
        <w:trPr>
          <w:jc w:val="center"/>
        </w:trPr>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1956FDED" w14:textId="77777777" w:rsidR="006B74D5" w:rsidRPr="00FE57FC" w:rsidRDefault="00035084" w:rsidP="006B74D5">
            <w:pPr>
              <w:spacing w:line="276" w:lineRule="auto"/>
              <w:jc w:val="center"/>
              <w:rPr>
                <w:rFonts w:ascii="Garamond" w:eastAsia="Klavika-Bold" w:hAnsi="Garamond" w:cs="Arial"/>
                <w:b/>
                <w:color w:val="002060"/>
                <w:sz w:val="24"/>
                <w:szCs w:val="24"/>
              </w:rPr>
            </w:pPr>
            <w:r w:rsidRPr="00FE57FC">
              <w:rPr>
                <w:rFonts w:ascii="Garamond" w:eastAsia="Klavika-Bold" w:hAnsi="Garamond" w:cs="Arial"/>
                <w:b/>
                <w:color w:val="002060"/>
                <w:sz w:val="24"/>
                <w:szCs w:val="24"/>
              </w:rPr>
              <w:t>Indicadores</w:t>
            </w:r>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39581C14" w14:textId="77777777" w:rsidR="006B74D5" w:rsidRPr="00FE57FC" w:rsidRDefault="00035084" w:rsidP="006B74D5">
            <w:pPr>
              <w:spacing w:line="276" w:lineRule="auto"/>
              <w:jc w:val="center"/>
              <w:rPr>
                <w:rFonts w:ascii="Garamond" w:eastAsia="Klavika-Bold" w:hAnsi="Garamond" w:cs="Arial"/>
                <w:b/>
                <w:color w:val="002060"/>
                <w:sz w:val="24"/>
                <w:szCs w:val="24"/>
              </w:rPr>
            </w:pPr>
            <w:r w:rsidRPr="00FE57FC">
              <w:rPr>
                <w:rFonts w:ascii="Garamond" w:eastAsia="Klavika-Bold" w:hAnsi="Garamond" w:cs="Arial"/>
                <w:b/>
                <w:color w:val="002060"/>
                <w:sz w:val="24"/>
                <w:szCs w:val="24"/>
              </w:rPr>
              <w:t>Meta</w:t>
            </w:r>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043A00D6" w14:textId="77777777" w:rsidR="006B74D5" w:rsidRPr="00FE57FC" w:rsidRDefault="006B74D5" w:rsidP="006B74D5">
            <w:pPr>
              <w:spacing w:line="276" w:lineRule="auto"/>
              <w:jc w:val="center"/>
              <w:rPr>
                <w:rFonts w:ascii="Garamond" w:eastAsia="Klavika-Bold" w:hAnsi="Garamond" w:cs="Arial"/>
                <w:b/>
                <w:color w:val="002060"/>
                <w:sz w:val="24"/>
                <w:szCs w:val="24"/>
              </w:rPr>
            </w:pPr>
            <w:r w:rsidRPr="00FE57FC">
              <w:rPr>
                <w:rFonts w:ascii="Garamond" w:eastAsia="Klavika-Bold" w:hAnsi="Garamond" w:cs="Arial"/>
                <w:b/>
                <w:color w:val="002060"/>
                <w:sz w:val="24"/>
                <w:szCs w:val="24"/>
              </w:rPr>
              <w:t>Resultado</w:t>
            </w:r>
          </w:p>
        </w:tc>
      </w:tr>
      <w:tr w:rsidR="00FE57FC" w:rsidRPr="00FE57FC" w14:paraId="17679D7C" w14:textId="77777777" w:rsidTr="00FE57FC">
        <w:trPr>
          <w:jc w:val="center"/>
        </w:trPr>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459EEA4E" w14:textId="77777777" w:rsidR="006B74D5" w:rsidRPr="00FE57FC" w:rsidRDefault="006B74D5" w:rsidP="006B74D5">
            <w:pPr>
              <w:spacing w:line="276" w:lineRule="auto"/>
              <w:jc w:val="center"/>
              <w:rPr>
                <w:rFonts w:ascii="Garamond" w:eastAsia="Klavika-Bold" w:hAnsi="Garamond" w:cs="Arial"/>
                <w:bCs/>
                <w:color w:val="002060"/>
                <w:sz w:val="24"/>
                <w:szCs w:val="24"/>
              </w:rPr>
            </w:pPr>
            <w:r w:rsidRPr="00FE57FC">
              <w:rPr>
                <w:rFonts w:ascii="Garamond" w:eastAsia="Klavika-Bold" w:hAnsi="Garamond" w:cs="Arial"/>
                <w:bCs/>
                <w:color w:val="002060"/>
                <w:sz w:val="24"/>
                <w:szCs w:val="24"/>
              </w:rPr>
              <w:t>Retorno sobre Patrimônio Líquido</w:t>
            </w:r>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7C8F9191" w14:textId="77777777" w:rsidR="006B74D5" w:rsidRPr="00FE57FC" w:rsidRDefault="006B74D5" w:rsidP="006B74D5">
            <w:pPr>
              <w:spacing w:line="276" w:lineRule="auto"/>
              <w:jc w:val="center"/>
              <w:rPr>
                <w:rFonts w:ascii="Garamond" w:eastAsia="Klavika-Bold" w:hAnsi="Garamond" w:cs="Arial"/>
                <w:bCs/>
                <w:color w:val="002060"/>
                <w:sz w:val="24"/>
                <w:szCs w:val="24"/>
              </w:rPr>
            </w:pPr>
            <w:r w:rsidRPr="00FE57FC">
              <w:rPr>
                <w:rFonts w:ascii="Garamond" w:eastAsia="Klavika-Bold" w:hAnsi="Garamond" w:cs="Arial"/>
                <w:bCs/>
                <w:color w:val="002060"/>
                <w:sz w:val="24"/>
                <w:szCs w:val="24"/>
              </w:rPr>
              <w:t>1,3%</w:t>
            </w:r>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2AD062B6" w14:textId="77777777" w:rsidR="006B74D5" w:rsidRPr="00FE57FC" w:rsidRDefault="006B74D5" w:rsidP="006B74D5">
            <w:pPr>
              <w:spacing w:line="276" w:lineRule="auto"/>
              <w:jc w:val="center"/>
              <w:rPr>
                <w:rFonts w:ascii="Garamond" w:eastAsia="Klavika-Bold" w:hAnsi="Garamond" w:cs="Arial"/>
                <w:bCs/>
                <w:color w:val="002060"/>
                <w:sz w:val="24"/>
                <w:szCs w:val="24"/>
              </w:rPr>
            </w:pPr>
            <w:r w:rsidRPr="00FE57FC">
              <w:rPr>
                <w:rFonts w:ascii="Garamond" w:eastAsia="Klavika-Bold" w:hAnsi="Garamond" w:cs="Arial"/>
                <w:bCs/>
                <w:color w:val="002060"/>
                <w:sz w:val="24"/>
                <w:szCs w:val="24"/>
              </w:rPr>
              <w:t>1,81%</w:t>
            </w:r>
          </w:p>
        </w:tc>
      </w:tr>
      <w:tr w:rsidR="00FE57FC" w:rsidRPr="00FE57FC" w14:paraId="5237E25E" w14:textId="77777777" w:rsidTr="00FE57FC">
        <w:trPr>
          <w:jc w:val="center"/>
        </w:trPr>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7D116ED1" w14:textId="77777777" w:rsidR="006B74D5" w:rsidRPr="00FE57FC" w:rsidRDefault="006B74D5" w:rsidP="006B74D5">
            <w:pPr>
              <w:spacing w:line="276" w:lineRule="auto"/>
              <w:jc w:val="center"/>
              <w:rPr>
                <w:rFonts w:ascii="Garamond" w:eastAsia="Klavika-Bold" w:hAnsi="Garamond" w:cs="Arial"/>
                <w:bCs/>
                <w:color w:val="002060"/>
                <w:sz w:val="24"/>
                <w:szCs w:val="24"/>
              </w:rPr>
            </w:pPr>
            <w:r w:rsidRPr="00FE57FC">
              <w:rPr>
                <w:rFonts w:ascii="Garamond" w:eastAsia="Klavika-Bold" w:hAnsi="Garamond" w:cs="Arial"/>
                <w:bCs/>
                <w:color w:val="002060"/>
                <w:sz w:val="24"/>
                <w:szCs w:val="24"/>
              </w:rPr>
              <w:t>Equilíbrio Econômico-Financeiro</w:t>
            </w:r>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20D540CA" w14:textId="77777777" w:rsidR="006B74D5" w:rsidRPr="00FE57FC" w:rsidRDefault="006B74D5" w:rsidP="006B74D5">
            <w:pPr>
              <w:spacing w:line="276" w:lineRule="auto"/>
              <w:jc w:val="center"/>
              <w:rPr>
                <w:rFonts w:ascii="Garamond" w:eastAsia="Klavika-Bold" w:hAnsi="Garamond" w:cs="Arial"/>
                <w:bCs/>
                <w:color w:val="002060"/>
                <w:sz w:val="24"/>
                <w:szCs w:val="24"/>
              </w:rPr>
            </w:pPr>
            <w:r w:rsidRPr="00FE57FC">
              <w:rPr>
                <w:rFonts w:ascii="Garamond" w:eastAsia="Klavika-Bold" w:hAnsi="Garamond" w:cs="Arial"/>
                <w:bCs/>
                <w:color w:val="002060"/>
                <w:sz w:val="24"/>
                <w:szCs w:val="24"/>
              </w:rPr>
              <w:t>1</w:t>
            </w:r>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30233869" w14:textId="77777777" w:rsidR="006B74D5" w:rsidRPr="00FE57FC" w:rsidRDefault="006B74D5" w:rsidP="006B74D5">
            <w:pPr>
              <w:spacing w:line="276" w:lineRule="auto"/>
              <w:jc w:val="center"/>
              <w:rPr>
                <w:rFonts w:ascii="Garamond" w:eastAsia="Klavika-Bold" w:hAnsi="Garamond" w:cs="Arial"/>
                <w:bCs/>
                <w:color w:val="002060"/>
                <w:sz w:val="24"/>
                <w:szCs w:val="24"/>
              </w:rPr>
            </w:pPr>
            <w:r w:rsidRPr="00FE57FC">
              <w:rPr>
                <w:rFonts w:ascii="Garamond" w:eastAsia="Klavika-Bold" w:hAnsi="Garamond" w:cs="Arial"/>
                <w:bCs/>
                <w:color w:val="002060"/>
                <w:sz w:val="24"/>
                <w:szCs w:val="24"/>
              </w:rPr>
              <w:t>0,79</w:t>
            </w:r>
          </w:p>
        </w:tc>
      </w:tr>
    </w:tbl>
    <w:p w14:paraId="44F42244" w14:textId="77777777" w:rsidR="00240D79" w:rsidRPr="00FE57FC" w:rsidRDefault="00240D79" w:rsidP="00035084">
      <w:pPr>
        <w:spacing w:after="0"/>
        <w:rPr>
          <w:color w:val="002060"/>
          <w:sz w:val="24"/>
          <w:szCs w:val="24"/>
        </w:rPr>
      </w:pPr>
    </w:p>
    <w:p w14:paraId="64D356AE" w14:textId="730BC580" w:rsidR="006B74D5" w:rsidRPr="00FE57FC" w:rsidRDefault="00035084" w:rsidP="00035084">
      <w:pPr>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 xml:space="preserve">Com relação ao retorno sobre o patrimônio líquido, </w:t>
      </w:r>
      <w:r w:rsidR="000A24EC" w:rsidRPr="00FE57FC">
        <w:rPr>
          <w:rFonts w:ascii="Garamond" w:eastAsia="Klavika-Bold" w:hAnsi="Garamond" w:cs="Arial"/>
          <w:bCs/>
          <w:color w:val="002060"/>
          <w:sz w:val="24"/>
          <w:szCs w:val="24"/>
        </w:rPr>
        <w:t>em que pese ter havido uma redução do ROE de 3,45% para 1,81% de 2019 para 2020, o indicador fechou 39,2% superior à meta estipulada para 2020</w:t>
      </w:r>
      <w:r w:rsidRPr="00FE57FC">
        <w:rPr>
          <w:rFonts w:ascii="Garamond" w:eastAsia="Klavika-Bold" w:hAnsi="Garamond" w:cs="Arial"/>
          <w:bCs/>
          <w:color w:val="002060"/>
          <w:sz w:val="24"/>
          <w:szCs w:val="24"/>
        </w:rPr>
        <w:t xml:space="preserve">. </w:t>
      </w:r>
      <w:r w:rsidR="000A24EC" w:rsidRPr="00FE57FC">
        <w:rPr>
          <w:rFonts w:ascii="Garamond" w:eastAsia="Klavika-Bold" w:hAnsi="Garamond" w:cs="Arial"/>
          <w:bCs/>
          <w:color w:val="002060"/>
          <w:sz w:val="24"/>
          <w:szCs w:val="24"/>
        </w:rPr>
        <w:t xml:space="preserve">Esta superação da meta </w:t>
      </w:r>
      <w:r w:rsidRPr="00FE57FC">
        <w:rPr>
          <w:rFonts w:ascii="Garamond" w:eastAsia="Klavika-Bold" w:hAnsi="Garamond" w:cs="Arial"/>
          <w:bCs/>
          <w:color w:val="002060"/>
          <w:sz w:val="24"/>
          <w:szCs w:val="24"/>
        </w:rPr>
        <w:t xml:space="preserve">deve-se </w:t>
      </w:r>
      <w:r w:rsidR="006B74D5" w:rsidRPr="00FE57FC">
        <w:rPr>
          <w:rFonts w:ascii="Garamond" w:eastAsia="Klavika-Bold" w:hAnsi="Garamond" w:cs="Arial"/>
          <w:bCs/>
          <w:color w:val="002060"/>
          <w:sz w:val="24"/>
          <w:szCs w:val="24"/>
        </w:rPr>
        <w:t>a implementação de diversas ações de redução das despesas de pessoal e administrativas</w:t>
      </w:r>
      <w:r w:rsidRPr="00FE57FC">
        <w:rPr>
          <w:rFonts w:ascii="Garamond" w:eastAsia="Klavika-Bold" w:hAnsi="Garamond" w:cs="Arial"/>
          <w:bCs/>
          <w:color w:val="002060"/>
          <w:sz w:val="24"/>
          <w:szCs w:val="24"/>
        </w:rPr>
        <w:t xml:space="preserve"> ao longo do ano de 2020</w:t>
      </w:r>
      <w:r w:rsidR="006B74D5" w:rsidRPr="00FE57FC">
        <w:rPr>
          <w:rFonts w:ascii="Garamond" w:eastAsia="Klavika-Bold" w:hAnsi="Garamond" w:cs="Arial"/>
          <w:bCs/>
          <w:color w:val="002060"/>
          <w:sz w:val="24"/>
          <w:szCs w:val="24"/>
        </w:rPr>
        <w:t>.</w:t>
      </w:r>
    </w:p>
    <w:p w14:paraId="1AB13219" w14:textId="6A0E9747" w:rsidR="009A3BAD" w:rsidRPr="00FE57FC" w:rsidRDefault="00035084" w:rsidP="009A3BAD">
      <w:pPr>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 xml:space="preserve">Com relação ao equilíbrio econômico-financeiro da Empresa, a ABGF no ano de 2020 </w:t>
      </w:r>
      <w:r w:rsidR="009A3BAD" w:rsidRPr="00FE57FC">
        <w:rPr>
          <w:rFonts w:ascii="Garamond" w:eastAsia="Klavika-Bold" w:hAnsi="Garamond" w:cs="Arial"/>
          <w:bCs/>
          <w:color w:val="002060"/>
          <w:sz w:val="24"/>
          <w:szCs w:val="24"/>
        </w:rPr>
        <w:t xml:space="preserve">conseguiu promover a redução de suas despesas, por meio de redução de quadro de funcionários, renegociação de contratos e cancelamento daqueles que seriam dispensáveis para a continuidade dos serviços atualmente executados. Entretanto, </w:t>
      </w:r>
      <w:r w:rsidR="000A24EC" w:rsidRPr="00FE57FC">
        <w:rPr>
          <w:rFonts w:ascii="Garamond" w:eastAsia="Klavika-Bold" w:hAnsi="Garamond" w:cs="Arial"/>
          <w:bCs/>
          <w:color w:val="002060"/>
          <w:sz w:val="24"/>
          <w:szCs w:val="24"/>
        </w:rPr>
        <w:t>destaca-se que este indicador é diretamente influenciado pelo Lucro Líquido, que sofreu, em 2020, uma redução da ordem 48,8% em relação ao ano anterior, impactado fortemente pela redução das receitas associadas</w:t>
      </w:r>
      <w:r w:rsidR="009A3BAD" w:rsidRPr="00FE57FC">
        <w:rPr>
          <w:rFonts w:ascii="Garamond" w:eastAsia="Klavika-Bold" w:hAnsi="Garamond" w:cs="Arial"/>
          <w:bCs/>
          <w:color w:val="002060"/>
          <w:sz w:val="24"/>
          <w:szCs w:val="24"/>
        </w:rPr>
        <w:t xml:space="preserve">, </w:t>
      </w:r>
      <w:r w:rsidR="000A24EC" w:rsidRPr="00FE57FC">
        <w:rPr>
          <w:rFonts w:ascii="Garamond" w:eastAsia="Klavika-Bold" w:hAnsi="Garamond" w:cs="Arial"/>
          <w:bCs/>
          <w:color w:val="002060"/>
          <w:sz w:val="24"/>
          <w:szCs w:val="24"/>
        </w:rPr>
        <w:t>principalmente a</w:t>
      </w:r>
      <w:r w:rsidR="009A3BAD" w:rsidRPr="00FE57FC">
        <w:rPr>
          <w:rFonts w:ascii="Garamond" w:eastAsia="Klavika-Bold" w:hAnsi="Garamond" w:cs="Arial"/>
          <w:bCs/>
          <w:color w:val="002060"/>
          <w:sz w:val="24"/>
          <w:szCs w:val="24"/>
        </w:rPr>
        <w:t xml:space="preserve"> redução do escopo do contrato de prestação de serviços com a SE-CAMEX</w:t>
      </w:r>
      <w:r w:rsidR="006E03C0">
        <w:rPr>
          <w:rFonts w:ascii="Garamond" w:eastAsia="Klavika-Bold" w:hAnsi="Garamond" w:cs="Arial"/>
          <w:bCs/>
          <w:color w:val="002060"/>
          <w:sz w:val="24"/>
          <w:szCs w:val="24"/>
        </w:rPr>
        <w:t xml:space="preserve"> e a redução da Taxa SELIC que impactou na remuneração financeira</w:t>
      </w:r>
      <w:r w:rsidR="009A3BAD" w:rsidRPr="00FE57FC">
        <w:rPr>
          <w:rFonts w:ascii="Garamond" w:eastAsia="Klavika-Bold" w:hAnsi="Garamond" w:cs="Arial"/>
          <w:bCs/>
          <w:color w:val="002060"/>
          <w:sz w:val="24"/>
          <w:szCs w:val="24"/>
        </w:rPr>
        <w:t xml:space="preserve">. </w:t>
      </w:r>
    </w:p>
    <w:p w14:paraId="1ADB973E" w14:textId="77777777" w:rsidR="00A23546" w:rsidRPr="00FE57FC" w:rsidRDefault="00A23546" w:rsidP="00A23546">
      <w:pPr>
        <w:tabs>
          <w:tab w:val="left" w:pos="1902"/>
        </w:tabs>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 xml:space="preserve">Em dezembro de 2020, o Conselho de Administração aprovou a revisão do Planejamento Estratégico ciclo 2021-2025. Considerando que a definição de modalidade de desestatização é um norteador essencial para orientar os rumos das ABGF, o que ainda não se efetivou, identificou-se a necessidade de se ajustar os elementos que compõem a identidade organizacional – missão, visão e valores – como forma de melhor caracterizar o propósito e orientação de atuação da Empresa, devendo retratar o papel social da ABGF na condução de suas linhas de negócios, bem como </w:t>
      </w:r>
      <w:r w:rsidR="00B22C4D" w:rsidRPr="00FE57FC">
        <w:rPr>
          <w:rFonts w:ascii="Garamond" w:eastAsia="Klavika-Bold" w:hAnsi="Garamond" w:cs="Arial"/>
          <w:bCs/>
          <w:color w:val="002060"/>
          <w:sz w:val="24"/>
          <w:szCs w:val="24"/>
        </w:rPr>
        <w:t>su</w:t>
      </w:r>
      <w:r w:rsidRPr="00FE57FC">
        <w:rPr>
          <w:rFonts w:ascii="Garamond" w:eastAsia="Klavika-Bold" w:hAnsi="Garamond" w:cs="Arial"/>
          <w:bCs/>
          <w:color w:val="002060"/>
          <w:sz w:val="24"/>
          <w:szCs w:val="24"/>
        </w:rPr>
        <w:t xml:space="preserve">a contribuição para </w:t>
      </w:r>
      <w:r w:rsidR="00B22C4D" w:rsidRPr="00FE57FC">
        <w:rPr>
          <w:rFonts w:ascii="Garamond" w:eastAsia="Klavika-Bold" w:hAnsi="Garamond" w:cs="Arial"/>
          <w:bCs/>
          <w:color w:val="002060"/>
          <w:sz w:val="24"/>
          <w:szCs w:val="24"/>
        </w:rPr>
        <w:t xml:space="preserve">viabilizar a </w:t>
      </w:r>
      <w:r w:rsidRPr="00FE57FC">
        <w:rPr>
          <w:rFonts w:ascii="Garamond" w:eastAsia="Klavika-Bold" w:hAnsi="Garamond" w:cs="Arial"/>
          <w:bCs/>
          <w:color w:val="002060"/>
          <w:sz w:val="24"/>
          <w:szCs w:val="24"/>
        </w:rPr>
        <w:t>execução das políticas públicas a elas associadas.</w:t>
      </w:r>
    </w:p>
    <w:p w14:paraId="7545D4CD" w14:textId="547BCE33" w:rsidR="00A23546" w:rsidRPr="00FE57FC" w:rsidRDefault="00A23546" w:rsidP="00A23546">
      <w:pPr>
        <w:tabs>
          <w:tab w:val="left" w:pos="1902"/>
        </w:tabs>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lastRenderedPageBreak/>
        <w:t xml:space="preserve">As diretrizes estratégicas também foram ajustadas para direcionar e explicitar os rumos para atuação da ABGF como empresa pública que exerce seu papel com eficiência e efetividade, sendo definidas por: i) assegurar a sustentabilidade </w:t>
      </w:r>
      <w:r w:rsidR="00D005C6" w:rsidRPr="00FE57FC">
        <w:rPr>
          <w:rFonts w:ascii="Garamond" w:eastAsia="Klavika-Bold" w:hAnsi="Garamond" w:cs="Arial"/>
          <w:bCs/>
          <w:color w:val="002060"/>
          <w:sz w:val="24"/>
          <w:szCs w:val="24"/>
        </w:rPr>
        <w:t>econômico</w:t>
      </w:r>
      <w:r w:rsidR="00D005C6">
        <w:rPr>
          <w:rFonts w:ascii="Garamond" w:eastAsia="Klavika-Bold" w:hAnsi="Garamond" w:cs="Arial"/>
          <w:bCs/>
          <w:color w:val="002060"/>
          <w:sz w:val="24"/>
          <w:szCs w:val="24"/>
        </w:rPr>
        <w:t>-</w:t>
      </w:r>
      <w:r w:rsidR="00D005C6" w:rsidRPr="00FE57FC">
        <w:rPr>
          <w:rFonts w:ascii="Garamond" w:eastAsia="Klavika-Bold" w:hAnsi="Garamond" w:cs="Arial"/>
          <w:bCs/>
          <w:color w:val="002060"/>
          <w:sz w:val="24"/>
          <w:szCs w:val="24"/>
        </w:rPr>
        <w:t>financeira</w:t>
      </w:r>
      <w:r w:rsidRPr="00FE57FC">
        <w:rPr>
          <w:rFonts w:ascii="Garamond" w:eastAsia="Klavika-Bold" w:hAnsi="Garamond" w:cs="Arial"/>
          <w:bCs/>
          <w:color w:val="002060"/>
          <w:sz w:val="24"/>
          <w:szCs w:val="24"/>
        </w:rPr>
        <w:t>; ii) assegurar a efetividade nos Sistemas de Controles Internos; e iii) garantir a continuidade e qualidade na execução dos serviços prestados à União.</w:t>
      </w:r>
    </w:p>
    <w:p w14:paraId="1301ADEB" w14:textId="77777777" w:rsidR="00C01CF8" w:rsidRPr="00FE57FC" w:rsidRDefault="00A23546" w:rsidP="00A23546">
      <w:pPr>
        <w:spacing w:before="120" w:after="120" w:line="240" w:lineRule="auto"/>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O realinhamento também foi refletido nos objetivos estratégicos e no conjunto de ações estratégicas, de forma a concentrar os esforços organizacionais na geração de valor público à sociedade.</w:t>
      </w:r>
    </w:p>
    <w:p w14:paraId="4279C426" w14:textId="77777777" w:rsidR="00A23546" w:rsidRPr="00FE57FC" w:rsidRDefault="00A23546" w:rsidP="00A23546">
      <w:pPr>
        <w:spacing w:before="120" w:after="120" w:line="240" w:lineRule="auto"/>
        <w:jc w:val="both"/>
        <w:rPr>
          <w:rFonts w:ascii="Garamond" w:eastAsia="Klavika-Bold" w:hAnsi="Garamond" w:cs="Arial"/>
          <w:bCs/>
          <w:color w:val="002060"/>
          <w:sz w:val="24"/>
          <w:szCs w:val="24"/>
        </w:rPr>
      </w:pPr>
    </w:p>
    <w:p w14:paraId="5466ACFC" w14:textId="77777777" w:rsidR="00131C20" w:rsidRPr="00FE57FC" w:rsidRDefault="004425AF" w:rsidP="003048E2">
      <w:pPr>
        <w:spacing w:before="120" w:after="120" w:line="240" w:lineRule="auto"/>
        <w:jc w:val="both"/>
        <w:rPr>
          <w:rFonts w:ascii="Garamond" w:hAnsi="Garamond" w:cs="Arial"/>
          <w:b/>
          <w:color w:val="002060"/>
          <w:sz w:val="24"/>
          <w:szCs w:val="24"/>
        </w:rPr>
      </w:pPr>
      <w:r w:rsidRPr="00FE57FC">
        <w:rPr>
          <w:rFonts w:ascii="Garamond" w:hAnsi="Garamond" w:cs="Arial"/>
          <w:b/>
          <w:color w:val="002060"/>
          <w:sz w:val="24"/>
          <w:szCs w:val="24"/>
        </w:rPr>
        <w:t xml:space="preserve">4. </w:t>
      </w:r>
      <w:r w:rsidR="00C660CB" w:rsidRPr="00FE57FC">
        <w:rPr>
          <w:rFonts w:ascii="Garamond" w:hAnsi="Garamond" w:cs="Arial"/>
          <w:b/>
          <w:color w:val="002060"/>
          <w:sz w:val="24"/>
          <w:szCs w:val="24"/>
        </w:rPr>
        <w:t>Desempenho Econômico-Financeiro</w:t>
      </w:r>
    </w:p>
    <w:p w14:paraId="02072ED2" w14:textId="77777777" w:rsidR="00116BA1" w:rsidRPr="00FE57FC" w:rsidRDefault="00616851" w:rsidP="007E59CF">
      <w:pPr>
        <w:jc w:val="both"/>
        <w:rPr>
          <w:rFonts w:ascii="Garamond" w:eastAsia="Times New Roman" w:hAnsi="Garamond" w:cs="Arial"/>
          <w:color w:val="002060"/>
          <w:sz w:val="24"/>
          <w:szCs w:val="24"/>
          <w:lang w:eastAsia="pt-BR"/>
        </w:rPr>
      </w:pPr>
      <w:r w:rsidRPr="00FE57FC">
        <w:rPr>
          <w:rFonts w:ascii="Garamond" w:hAnsi="Garamond"/>
          <w:color w:val="002060"/>
          <w:sz w:val="24"/>
          <w:szCs w:val="24"/>
        </w:rPr>
        <w:t>As receitas da Companhia foram geradas pela prestação de serviços à União, por meio da Secretaria Executiva da Câmara de Comércio Exterior do Ministério da Economia (SE-CAMEX/ME), relacionados ao seguro de crédito à exportação ao amparo do Fundo de Garantia à Exportação (FGE), e pela administração do Fundo Garantidor de Infraestrutura (FGIE) e do Fundo de Estabilidade do Seguro Rural (FESR).</w:t>
      </w:r>
      <w:r w:rsidR="00131C20" w:rsidRPr="00FE57FC">
        <w:rPr>
          <w:rFonts w:ascii="Garamond" w:eastAsia="Times New Roman" w:hAnsi="Garamond" w:cs="Arial"/>
          <w:color w:val="002060"/>
          <w:sz w:val="24"/>
          <w:szCs w:val="24"/>
          <w:lang w:eastAsia="pt-BR"/>
        </w:rPr>
        <w:t xml:space="preserve"> </w:t>
      </w:r>
      <w:r w:rsidR="00CB44D4" w:rsidRPr="00FE57FC">
        <w:rPr>
          <w:rFonts w:ascii="Garamond" w:eastAsia="Times New Roman" w:hAnsi="Garamond" w:cs="Arial"/>
          <w:color w:val="002060"/>
          <w:sz w:val="24"/>
          <w:szCs w:val="24"/>
          <w:lang w:eastAsia="pt-BR"/>
        </w:rPr>
        <w:t>O quadro a seguir apresenta o comparativo de receitas operacionais relativos aos anos de 2019 e 2020:</w:t>
      </w:r>
      <w:r w:rsidR="00C660CB" w:rsidRPr="00FE57FC">
        <w:rPr>
          <w:rFonts w:ascii="Garamond" w:eastAsia="Times New Roman" w:hAnsi="Garamond" w:cs="Arial"/>
          <w:color w:val="002060"/>
          <w:sz w:val="24"/>
          <w:szCs w:val="24"/>
          <w:lang w:eastAsia="pt-BR"/>
        </w:rPr>
        <w:t xml:space="preserve"> </w:t>
      </w:r>
    </w:p>
    <w:p w14:paraId="689BD7A6" w14:textId="77777777" w:rsidR="00E77ED9" w:rsidRPr="00FE57FC" w:rsidRDefault="0026202C" w:rsidP="00E77ED9">
      <w:pPr>
        <w:spacing w:after="0"/>
        <w:ind w:right="-1"/>
        <w:jc w:val="both"/>
        <w:rPr>
          <w:rFonts w:ascii="Garamond" w:eastAsia="Times New Roman" w:hAnsi="Garamond" w:cs="Arial"/>
          <w:b/>
          <w:bCs/>
          <w:color w:val="002060"/>
          <w:sz w:val="24"/>
          <w:szCs w:val="24"/>
          <w:lang w:eastAsia="pt-BR"/>
        </w:rPr>
      </w:pPr>
      <w:r w:rsidRPr="00FE57FC">
        <w:rPr>
          <w:rFonts w:ascii="Garamond" w:eastAsia="Times New Roman" w:hAnsi="Garamond" w:cs="Arial"/>
          <w:b/>
          <w:bCs/>
          <w:color w:val="002060"/>
          <w:sz w:val="24"/>
          <w:szCs w:val="24"/>
          <w:lang w:eastAsia="pt-BR"/>
        </w:rPr>
        <w:t>Comparativo de r</w:t>
      </w:r>
      <w:r w:rsidR="00E77ED9" w:rsidRPr="00FE57FC">
        <w:rPr>
          <w:rFonts w:ascii="Garamond" w:eastAsia="Times New Roman" w:hAnsi="Garamond" w:cs="Arial"/>
          <w:b/>
          <w:bCs/>
          <w:color w:val="002060"/>
          <w:sz w:val="24"/>
          <w:szCs w:val="24"/>
          <w:lang w:eastAsia="pt-BR"/>
        </w:rPr>
        <w:t xml:space="preserve">eceitas </w:t>
      </w:r>
      <w:r w:rsidRPr="00FE57FC">
        <w:rPr>
          <w:rFonts w:ascii="Garamond" w:eastAsia="Times New Roman" w:hAnsi="Garamond" w:cs="Arial"/>
          <w:b/>
          <w:bCs/>
          <w:color w:val="002060"/>
          <w:sz w:val="24"/>
          <w:szCs w:val="24"/>
          <w:lang w:eastAsia="pt-BR"/>
        </w:rPr>
        <w:t xml:space="preserve">operacionais: </w:t>
      </w:r>
      <w:r w:rsidR="00E77ED9" w:rsidRPr="00FE57FC">
        <w:rPr>
          <w:rFonts w:ascii="Garamond" w:eastAsia="Times New Roman" w:hAnsi="Garamond" w:cs="Arial"/>
          <w:b/>
          <w:bCs/>
          <w:color w:val="002060"/>
          <w:sz w:val="24"/>
          <w:szCs w:val="24"/>
          <w:lang w:eastAsia="pt-BR"/>
        </w:rPr>
        <w:t>20</w:t>
      </w:r>
      <w:r w:rsidR="00CB44D4" w:rsidRPr="00FE57FC">
        <w:rPr>
          <w:rFonts w:ascii="Garamond" w:eastAsia="Times New Roman" w:hAnsi="Garamond" w:cs="Arial"/>
          <w:b/>
          <w:bCs/>
          <w:color w:val="002060"/>
          <w:sz w:val="24"/>
          <w:szCs w:val="24"/>
          <w:lang w:eastAsia="pt-BR"/>
        </w:rPr>
        <w:t>20/2019</w:t>
      </w:r>
    </w:p>
    <w:p w14:paraId="3DACDF56" w14:textId="77777777" w:rsidR="00E77ED9" w:rsidRPr="00FE57FC" w:rsidRDefault="0026202C" w:rsidP="0026202C">
      <w:pPr>
        <w:tabs>
          <w:tab w:val="right" w:pos="3402"/>
        </w:tabs>
        <w:spacing w:after="0" w:line="240" w:lineRule="auto"/>
        <w:ind w:firstLine="2835"/>
        <w:jc w:val="right"/>
        <w:rPr>
          <w:rFonts w:ascii="Garamond" w:eastAsia="Times New Roman" w:hAnsi="Garamond" w:cs="Arial"/>
          <w:b/>
          <w:bCs/>
          <w:color w:val="002060"/>
          <w:sz w:val="24"/>
          <w:szCs w:val="24"/>
          <w:lang w:eastAsia="pt-BR"/>
        </w:rPr>
      </w:pPr>
      <w:r w:rsidRPr="00FE57FC">
        <w:rPr>
          <w:rFonts w:ascii="Garamond" w:eastAsia="Times New Roman" w:hAnsi="Garamond" w:cs="Arial"/>
          <w:bCs/>
          <w:color w:val="002060"/>
          <w:sz w:val="24"/>
          <w:szCs w:val="24"/>
          <w:lang w:eastAsia="pt-BR"/>
        </w:rPr>
        <w:tab/>
      </w:r>
      <w:r w:rsidRPr="00FE57FC">
        <w:rPr>
          <w:rFonts w:ascii="Garamond" w:eastAsia="Times New Roman" w:hAnsi="Garamond" w:cs="Arial"/>
          <w:bCs/>
          <w:color w:val="002060"/>
          <w:sz w:val="24"/>
          <w:szCs w:val="24"/>
          <w:lang w:eastAsia="pt-BR"/>
        </w:rPr>
        <w:tab/>
      </w:r>
      <w:r w:rsidRPr="00FE57FC">
        <w:rPr>
          <w:rFonts w:ascii="Garamond" w:eastAsia="Times New Roman" w:hAnsi="Garamond" w:cs="Arial"/>
          <w:bCs/>
          <w:color w:val="002060"/>
          <w:sz w:val="24"/>
          <w:szCs w:val="24"/>
          <w:lang w:eastAsia="pt-BR"/>
        </w:rPr>
        <w:tab/>
      </w:r>
      <w:r w:rsidRPr="00FE57FC">
        <w:rPr>
          <w:rFonts w:ascii="Garamond" w:eastAsia="Times New Roman" w:hAnsi="Garamond" w:cs="Arial"/>
          <w:bCs/>
          <w:color w:val="002060"/>
          <w:sz w:val="24"/>
          <w:szCs w:val="24"/>
          <w:lang w:eastAsia="pt-BR"/>
        </w:rPr>
        <w:tab/>
      </w:r>
      <w:r w:rsidRPr="00FE57FC">
        <w:rPr>
          <w:rFonts w:ascii="Garamond" w:eastAsia="Times New Roman" w:hAnsi="Garamond" w:cs="Arial"/>
          <w:bCs/>
          <w:color w:val="002060"/>
          <w:sz w:val="24"/>
          <w:szCs w:val="24"/>
          <w:lang w:eastAsia="pt-BR"/>
        </w:rPr>
        <w:tab/>
      </w:r>
      <w:r w:rsidRPr="00FE57FC">
        <w:rPr>
          <w:rFonts w:ascii="Garamond" w:eastAsia="Times New Roman" w:hAnsi="Garamond" w:cs="Arial"/>
          <w:bCs/>
          <w:color w:val="002060"/>
          <w:sz w:val="24"/>
          <w:szCs w:val="24"/>
          <w:lang w:eastAsia="pt-BR"/>
        </w:rPr>
        <w:tab/>
      </w:r>
      <w:r w:rsidRPr="00FE57FC">
        <w:rPr>
          <w:rFonts w:ascii="Garamond" w:eastAsia="Times New Roman" w:hAnsi="Garamond" w:cs="Arial"/>
          <w:bCs/>
          <w:color w:val="002060"/>
          <w:sz w:val="24"/>
          <w:szCs w:val="24"/>
          <w:lang w:eastAsia="pt-BR"/>
        </w:rPr>
        <w:tab/>
      </w:r>
      <w:r w:rsidRPr="00FE57FC">
        <w:rPr>
          <w:rFonts w:ascii="Garamond" w:eastAsia="Times New Roman" w:hAnsi="Garamond" w:cs="Arial"/>
          <w:b/>
          <w:bCs/>
          <w:color w:val="002060"/>
          <w:sz w:val="24"/>
          <w:szCs w:val="24"/>
          <w:lang w:eastAsia="pt-BR"/>
        </w:rPr>
        <w:t xml:space="preserve">R$ </w:t>
      </w:r>
    </w:p>
    <w:tbl>
      <w:tblPr>
        <w:tblW w:w="8513" w:type="dxa"/>
        <w:tblCellMar>
          <w:left w:w="70" w:type="dxa"/>
          <w:right w:w="70" w:type="dxa"/>
        </w:tblCellMar>
        <w:tblLook w:val="04A0" w:firstRow="1" w:lastRow="0" w:firstColumn="1" w:lastColumn="0" w:noHBand="0" w:noVBand="1"/>
      </w:tblPr>
      <w:tblGrid>
        <w:gridCol w:w="4252"/>
        <w:gridCol w:w="1304"/>
        <w:gridCol w:w="160"/>
        <w:gridCol w:w="1276"/>
        <w:gridCol w:w="160"/>
        <w:gridCol w:w="1361"/>
      </w:tblGrid>
      <w:tr w:rsidR="00FE57FC" w:rsidRPr="00FE57FC" w14:paraId="15273530" w14:textId="77777777" w:rsidTr="00B22C4D">
        <w:trPr>
          <w:trHeight w:hRule="exact" w:val="340"/>
        </w:trPr>
        <w:tc>
          <w:tcPr>
            <w:tcW w:w="4252" w:type="dxa"/>
            <w:tcBorders>
              <w:top w:val="nil"/>
              <w:left w:val="nil"/>
              <w:bottom w:val="nil"/>
              <w:right w:val="nil"/>
            </w:tcBorders>
            <w:shd w:val="clear" w:color="auto" w:fill="ECF2FA"/>
            <w:noWrap/>
            <w:vAlign w:val="bottom"/>
            <w:hideMark/>
          </w:tcPr>
          <w:p w14:paraId="2C00C388" w14:textId="77777777" w:rsidR="00E77ED9" w:rsidRPr="00FE57FC" w:rsidRDefault="00E77ED9" w:rsidP="00B22C4D">
            <w:pPr>
              <w:spacing w:after="0" w:line="240" w:lineRule="auto"/>
              <w:jc w:val="both"/>
              <w:rPr>
                <w:rFonts w:ascii="Garamond" w:eastAsia="Times New Roman" w:hAnsi="Garamond" w:cs="Arial"/>
                <w:color w:val="002060"/>
                <w:lang w:eastAsia="pt-BR"/>
              </w:rPr>
            </w:pPr>
          </w:p>
        </w:tc>
        <w:tc>
          <w:tcPr>
            <w:tcW w:w="1304" w:type="dxa"/>
            <w:tcBorders>
              <w:top w:val="nil"/>
              <w:left w:val="nil"/>
              <w:bottom w:val="single" w:sz="8" w:space="0" w:color="003366"/>
              <w:right w:val="nil"/>
            </w:tcBorders>
            <w:shd w:val="clear" w:color="auto" w:fill="ECF2FA"/>
            <w:noWrap/>
            <w:vAlign w:val="bottom"/>
            <w:hideMark/>
          </w:tcPr>
          <w:p w14:paraId="3459F15A" w14:textId="77777777" w:rsidR="00E77ED9" w:rsidRPr="00FE57FC" w:rsidRDefault="00E77ED9" w:rsidP="007E59CF">
            <w:pPr>
              <w:spacing w:after="0" w:line="240" w:lineRule="auto"/>
              <w:jc w:val="center"/>
              <w:rPr>
                <w:rFonts w:ascii="Garamond" w:eastAsia="Times New Roman" w:hAnsi="Garamond" w:cs="Arial"/>
                <w:b/>
                <w:bCs/>
                <w:color w:val="002060"/>
                <w:lang w:eastAsia="pt-BR"/>
              </w:rPr>
            </w:pPr>
            <w:r w:rsidRPr="00FE57FC">
              <w:rPr>
                <w:rFonts w:ascii="Garamond" w:eastAsia="Times New Roman" w:hAnsi="Garamond" w:cs="Arial"/>
                <w:b/>
                <w:bCs/>
                <w:color w:val="002060"/>
                <w:lang w:eastAsia="pt-BR"/>
              </w:rPr>
              <w:t>20</w:t>
            </w:r>
            <w:r w:rsidR="00CB44D4" w:rsidRPr="00FE57FC">
              <w:rPr>
                <w:rFonts w:ascii="Garamond" w:eastAsia="Times New Roman" w:hAnsi="Garamond" w:cs="Arial"/>
                <w:b/>
                <w:bCs/>
                <w:color w:val="002060"/>
                <w:lang w:eastAsia="pt-BR"/>
              </w:rPr>
              <w:t>20</w:t>
            </w:r>
          </w:p>
        </w:tc>
        <w:tc>
          <w:tcPr>
            <w:tcW w:w="160" w:type="dxa"/>
            <w:tcBorders>
              <w:top w:val="nil"/>
              <w:left w:val="nil"/>
              <w:bottom w:val="nil"/>
              <w:right w:val="nil"/>
            </w:tcBorders>
            <w:shd w:val="clear" w:color="auto" w:fill="ECF2FA"/>
            <w:vAlign w:val="bottom"/>
            <w:hideMark/>
          </w:tcPr>
          <w:p w14:paraId="798CE554" w14:textId="77777777" w:rsidR="00E77ED9" w:rsidRPr="00FE57FC" w:rsidRDefault="00E77ED9" w:rsidP="007E59CF">
            <w:pPr>
              <w:spacing w:after="0" w:line="240" w:lineRule="auto"/>
              <w:jc w:val="center"/>
              <w:rPr>
                <w:rFonts w:ascii="Garamond" w:eastAsia="Times New Roman" w:hAnsi="Garamond" w:cs="Arial"/>
                <w:b/>
                <w:bCs/>
                <w:color w:val="002060"/>
                <w:lang w:eastAsia="pt-BR"/>
              </w:rPr>
            </w:pPr>
          </w:p>
        </w:tc>
        <w:tc>
          <w:tcPr>
            <w:tcW w:w="1276" w:type="dxa"/>
            <w:tcBorders>
              <w:top w:val="nil"/>
              <w:left w:val="nil"/>
              <w:bottom w:val="single" w:sz="8" w:space="0" w:color="003366"/>
              <w:right w:val="nil"/>
            </w:tcBorders>
            <w:shd w:val="clear" w:color="auto" w:fill="ECF2FA"/>
            <w:noWrap/>
            <w:vAlign w:val="bottom"/>
            <w:hideMark/>
          </w:tcPr>
          <w:p w14:paraId="2D46CD57" w14:textId="77777777" w:rsidR="00E77ED9" w:rsidRPr="00FE57FC" w:rsidRDefault="00E77ED9" w:rsidP="007E59CF">
            <w:pPr>
              <w:spacing w:after="0" w:line="240" w:lineRule="auto"/>
              <w:jc w:val="center"/>
              <w:rPr>
                <w:rFonts w:ascii="Garamond" w:eastAsia="Times New Roman" w:hAnsi="Garamond" w:cs="Arial"/>
                <w:b/>
                <w:bCs/>
                <w:color w:val="002060"/>
                <w:lang w:eastAsia="pt-BR"/>
              </w:rPr>
            </w:pPr>
            <w:r w:rsidRPr="00FE57FC">
              <w:rPr>
                <w:rFonts w:ascii="Garamond" w:eastAsia="Times New Roman" w:hAnsi="Garamond" w:cs="Arial"/>
                <w:b/>
                <w:bCs/>
                <w:color w:val="002060"/>
                <w:lang w:eastAsia="pt-BR"/>
              </w:rPr>
              <w:t>201</w:t>
            </w:r>
            <w:r w:rsidR="00CB44D4" w:rsidRPr="00FE57FC">
              <w:rPr>
                <w:rFonts w:ascii="Garamond" w:eastAsia="Times New Roman" w:hAnsi="Garamond" w:cs="Arial"/>
                <w:b/>
                <w:bCs/>
                <w:color w:val="002060"/>
                <w:lang w:eastAsia="pt-BR"/>
              </w:rPr>
              <w:t>9</w:t>
            </w:r>
          </w:p>
        </w:tc>
        <w:tc>
          <w:tcPr>
            <w:tcW w:w="160" w:type="dxa"/>
            <w:tcBorders>
              <w:top w:val="nil"/>
              <w:left w:val="nil"/>
              <w:bottom w:val="nil"/>
              <w:right w:val="nil"/>
            </w:tcBorders>
            <w:shd w:val="clear" w:color="auto" w:fill="ECF2FA"/>
            <w:vAlign w:val="bottom"/>
            <w:hideMark/>
          </w:tcPr>
          <w:p w14:paraId="104045F8" w14:textId="77777777" w:rsidR="00E77ED9" w:rsidRPr="00FE57FC" w:rsidRDefault="00E77ED9" w:rsidP="007E59CF">
            <w:pPr>
              <w:spacing w:after="0" w:line="240" w:lineRule="auto"/>
              <w:jc w:val="center"/>
              <w:rPr>
                <w:rFonts w:ascii="Garamond" w:eastAsia="Times New Roman" w:hAnsi="Garamond" w:cs="Arial"/>
                <w:b/>
                <w:bCs/>
                <w:color w:val="002060"/>
                <w:lang w:eastAsia="pt-BR"/>
              </w:rPr>
            </w:pPr>
          </w:p>
        </w:tc>
        <w:tc>
          <w:tcPr>
            <w:tcW w:w="1361" w:type="dxa"/>
            <w:tcBorders>
              <w:top w:val="nil"/>
              <w:left w:val="nil"/>
              <w:bottom w:val="single" w:sz="8" w:space="0" w:color="003366"/>
              <w:right w:val="nil"/>
            </w:tcBorders>
            <w:shd w:val="clear" w:color="auto" w:fill="ECF2FA"/>
            <w:vAlign w:val="bottom"/>
            <w:hideMark/>
          </w:tcPr>
          <w:p w14:paraId="0CC8F9E3" w14:textId="77777777" w:rsidR="00E77ED9" w:rsidRPr="00FE57FC" w:rsidRDefault="00E77ED9" w:rsidP="007E59CF">
            <w:pPr>
              <w:spacing w:after="0" w:line="240" w:lineRule="auto"/>
              <w:jc w:val="center"/>
              <w:rPr>
                <w:rFonts w:ascii="Garamond" w:eastAsia="Times New Roman" w:hAnsi="Garamond" w:cs="Arial"/>
                <w:b/>
                <w:bCs/>
                <w:color w:val="002060"/>
                <w:lang w:eastAsia="pt-BR"/>
              </w:rPr>
            </w:pPr>
            <w:r w:rsidRPr="00FE57FC">
              <w:rPr>
                <w:rFonts w:ascii="Garamond" w:eastAsia="Times New Roman" w:hAnsi="Garamond" w:cs="Arial"/>
                <w:b/>
                <w:bCs/>
                <w:color w:val="002060"/>
                <w:lang w:eastAsia="pt-BR"/>
              </w:rPr>
              <w:t>variação %</w:t>
            </w:r>
          </w:p>
        </w:tc>
      </w:tr>
      <w:tr w:rsidR="00FE57FC" w:rsidRPr="00FE57FC" w14:paraId="1D8ECC7E" w14:textId="77777777" w:rsidTr="00BF2110">
        <w:trPr>
          <w:trHeight w:hRule="exact" w:val="283"/>
        </w:trPr>
        <w:tc>
          <w:tcPr>
            <w:tcW w:w="4252" w:type="dxa"/>
            <w:tcBorders>
              <w:top w:val="nil"/>
              <w:left w:val="nil"/>
              <w:bottom w:val="nil"/>
              <w:right w:val="nil"/>
            </w:tcBorders>
            <w:shd w:val="clear" w:color="auto" w:fill="auto"/>
            <w:noWrap/>
            <w:vAlign w:val="bottom"/>
            <w:hideMark/>
          </w:tcPr>
          <w:p w14:paraId="1C301D00" w14:textId="77777777" w:rsidR="00E77ED9" w:rsidRPr="00FE57FC" w:rsidRDefault="00E77ED9" w:rsidP="00B22C4D">
            <w:pPr>
              <w:spacing w:after="0" w:line="240" w:lineRule="auto"/>
              <w:jc w:val="both"/>
              <w:rPr>
                <w:rFonts w:ascii="Garamond" w:eastAsia="Times New Roman" w:hAnsi="Garamond" w:cs="Arial"/>
                <w:color w:val="002060"/>
                <w:lang w:eastAsia="pt-BR"/>
              </w:rPr>
            </w:pPr>
            <w:r w:rsidRPr="00FE57FC">
              <w:rPr>
                <w:rFonts w:ascii="Garamond" w:eastAsia="Times New Roman" w:hAnsi="Garamond" w:cs="Arial"/>
                <w:color w:val="002060"/>
                <w:lang w:eastAsia="pt-BR"/>
              </w:rPr>
              <w:t>Prestação de serviços para a S</w:t>
            </w:r>
            <w:r w:rsidR="00BF2110" w:rsidRPr="00FE57FC">
              <w:rPr>
                <w:rFonts w:ascii="Garamond" w:eastAsia="Times New Roman" w:hAnsi="Garamond" w:cs="Arial"/>
                <w:color w:val="002060"/>
                <w:lang w:eastAsia="pt-BR"/>
              </w:rPr>
              <w:t>E-CAMEX</w:t>
            </w:r>
            <w:r w:rsidRPr="00FE57FC">
              <w:rPr>
                <w:rFonts w:ascii="Garamond" w:eastAsia="Times New Roman" w:hAnsi="Garamond" w:cs="Arial"/>
                <w:color w:val="002060"/>
                <w:lang w:eastAsia="pt-BR"/>
              </w:rPr>
              <w:t>/M</w:t>
            </w:r>
            <w:r w:rsidR="00BF2110" w:rsidRPr="00FE57FC">
              <w:rPr>
                <w:rFonts w:ascii="Garamond" w:eastAsia="Times New Roman" w:hAnsi="Garamond" w:cs="Arial"/>
                <w:color w:val="002060"/>
                <w:lang w:eastAsia="pt-BR"/>
              </w:rPr>
              <w:t>E</w:t>
            </w:r>
          </w:p>
        </w:tc>
        <w:tc>
          <w:tcPr>
            <w:tcW w:w="1304" w:type="dxa"/>
            <w:tcBorders>
              <w:top w:val="single" w:sz="8" w:space="0" w:color="003366"/>
              <w:left w:val="nil"/>
              <w:bottom w:val="nil"/>
              <w:right w:val="nil"/>
            </w:tcBorders>
            <w:shd w:val="clear" w:color="auto" w:fill="auto"/>
            <w:noWrap/>
            <w:vAlign w:val="bottom"/>
          </w:tcPr>
          <w:p w14:paraId="7CD54311" w14:textId="77777777" w:rsidR="00E77ED9" w:rsidRPr="00FE57FC" w:rsidRDefault="00CB44D4" w:rsidP="00CB44D4">
            <w:pPr>
              <w:spacing w:after="0" w:line="240" w:lineRule="auto"/>
              <w:jc w:val="right"/>
              <w:rPr>
                <w:rFonts w:ascii="Garamond" w:eastAsia="Times New Roman" w:hAnsi="Garamond" w:cs="Arial"/>
                <w:color w:val="002060"/>
                <w:lang w:eastAsia="pt-BR"/>
              </w:rPr>
            </w:pPr>
            <w:r w:rsidRPr="00FE57FC">
              <w:rPr>
                <w:rFonts w:ascii="Garamond" w:eastAsia="Times New Roman" w:hAnsi="Garamond" w:cs="Arial"/>
                <w:color w:val="002060"/>
                <w:lang w:eastAsia="pt-BR"/>
              </w:rPr>
              <w:t>10.697.041</w:t>
            </w:r>
          </w:p>
        </w:tc>
        <w:tc>
          <w:tcPr>
            <w:tcW w:w="160" w:type="dxa"/>
            <w:tcBorders>
              <w:top w:val="nil"/>
              <w:left w:val="nil"/>
              <w:bottom w:val="nil"/>
              <w:right w:val="nil"/>
            </w:tcBorders>
            <w:shd w:val="clear" w:color="auto" w:fill="auto"/>
            <w:vAlign w:val="bottom"/>
            <w:hideMark/>
          </w:tcPr>
          <w:p w14:paraId="1C7ADA9D" w14:textId="77777777" w:rsidR="00E77ED9" w:rsidRPr="00FE57FC" w:rsidRDefault="00E77ED9" w:rsidP="00CB44D4">
            <w:pPr>
              <w:spacing w:after="0" w:line="240" w:lineRule="auto"/>
              <w:jc w:val="right"/>
              <w:rPr>
                <w:rFonts w:ascii="Garamond" w:eastAsia="Times New Roman" w:hAnsi="Garamond" w:cs="Arial"/>
                <w:color w:val="002060"/>
                <w:lang w:eastAsia="pt-BR"/>
              </w:rPr>
            </w:pPr>
          </w:p>
        </w:tc>
        <w:tc>
          <w:tcPr>
            <w:tcW w:w="1276" w:type="dxa"/>
            <w:tcBorders>
              <w:top w:val="single" w:sz="8" w:space="0" w:color="003366"/>
              <w:left w:val="nil"/>
              <w:bottom w:val="nil"/>
              <w:right w:val="nil"/>
            </w:tcBorders>
            <w:shd w:val="clear" w:color="auto" w:fill="auto"/>
            <w:noWrap/>
            <w:vAlign w:val="bottom"/>
          </w:tcPr>
          <w:p w14:paraId="30218131" w14:textId="77777777" w:rsidR="00E77ED9" w:rsidRPr="00FE57FC" w:rsidRDefault="00CB44D4" w:rsidP="00CB44D4">
            <w:pPr>
              <w:spacing w:after="0" w:line="240" w:lineRule="auto"/>
              <w:jc w:val="right"/>
              <w:rPr>
                <w:rFonts w:ascii="Garamond" w:eastAsia="Times New Roman" w:hAnsi="Garamond" w:cs="Arial"/>
                <w:color w:val="002060"/>
                <w:lang w:eastAsia="pt-BR"/>
              </w:rPr>
            </w:pPr>
            <w:r w:rsidRPr="00FE57FC">
              <w:rPr>
                <w:rFonts w:ascii="Garamond" w:eastAsia="Times New Roman" w:hAnsi="Garamond" w:cs="Arial"/>
                <w:color w:val="002060"/>
                <w:lang w:eastAsia="pt-BR"/>
              </w:rPr>
              <w:t>17.359.639</w:t>
            </w:r>
          </w:p>
          <w:p w14:paraId="10660B92" w14:textId="77777777" w:rsidR="00CB44D4" w:rsidRPr="00FE57FC" w:rsidRDefault="00CB44D4" w:rsidP="00CB44D4">
            <w:pPr>
              <w:spacing w:after="0" w:line="240" w:lineRule="auto"/>
              <w:jc w:val="right"/>
              <w:rPr>
                <w:rFonts w:ascii="Garamond" w:eastAsia="Times New Roman" w:hAnsi="Garamond" w:cs="Arial"/>
                <w:color w:val="002060"/>
                <w:lang w:eastAsia="pt-BR"/>
              </w:rPr>
            </w:pPr>
          </w:p>
        </w:tc>
        <w:tc>
          <w:tcPr>
            <w:tcW w:w="160" w:type="dxa"/>
            <w:tcBorders>
              <w:top w:val="nil"/>
              <w:left w:val="nil"/>
              <w:bottom w:val="nil"/>
              <w:right w:val="nil"/>
            </w:tcBorders>
            <w:shd w:val="clear" w:color="auto" w:fill="auto"/>
            <w:vAlign w:val="center"/>
            <w:hideMark/>
          </w:tcPr>
          <w:p w14:paraId="35D6A08E" w14:textId="77777777" w:rsidR="00E77ED9" w:rsidRPr="00FE57FC" w:rsidRDefault="00E77ED9" w:rsidP="007E59CF">
            <w:pPr>
              <w:spacing w:after="0" w:line="240" w:lineRule="auto"/>
              <w:jc w:val="center"/>
              <w:rPr>
                <w:rFonts w:ascii="Garamond" w:eastAsia="Times New Roman" w:hAnsi="Garamond" w:cs="Arial"/>
                <w:color w:val="002060"/>
                <w:lang w:eastAsia="pt-BR"/>
              </w:rPr>
            </w:pPr>
          </w:p>
        </w:tc>
        <w:tc>
          <w:tcPr>
            <w:tcW w:w="1361" w:type="dxa"/>
            <w:tcBorders>
              <w:top w:val="single" w:sz="8" w:space="0" w:color="003366"/>
              <w:left w:val="nil"/>
              <w:bottom w:val="nil"/>
              <w:right w:val="nil"/>
            </w:tcBorders>
            <w:shd w:val="clear" w:color="auto" w:fill="auto"/>
            <w:vAlign w:val="bottom"/>
          </w:tcPr>
          <w:p w14:paraId="05DA2A20" w14:textId="77777777" w:rsidR="00E77ED9" w:rsidRPr="00FE57FC" w:rsidRDefault="00CB44D4" w:rsidP="007E59CF">
            <w:pPr>
              <w:spacing w:after="0" w:line="240" w:lineRule="auto"/>
              <w:jc w:val="center"/>
              <w:rPr>
                <w:rFonts w:ascii="Garamond" w:eastAsia="Times New Roman" w:hAnsi="Garamond" w:cs="Arial"/>
                <w:color w:val="002060"/>
                <w:lang w:eastAsia="pt-BR"/>
              </w:rPr>
            </w:pPr>
            <w:r w:rsidRPr="00FE57FC">
              <w:rPr>
                <w:rFonts w:ascii="Garamond" w:eastAsia="Times New Roman" w:hAnsi="Garamond" w:cs="Arial"/>
                <w:color w:val="002060"/>
                <w:lang w:eastAsia="pt-BR"/>
              </w:rPr>
              <w:t>-38,4%</w:t>
            </w:r>
          </w:p>
        </w:tc>
      </w:tr>
      <w:tr w:rsidR="00FE57FC" w:rsidRPr="00FE57FC" w14:paraId="1C8BB6DA" w14:textId="77777777" w:rsidTr="007E59CF">
        <w:trPr>
          <w:trHeight w:hRule="exact" w:val="255"/>
        </w:trPr>
        <w:tc>
          <w:tcPr>
            <w:tcW w:w="4252" w:type="dxa"/>
            <w:tcBorders>
              <w:top w:val="nil"/>
              <w:left w:val="nil"/>
              <w:bottom w:val="nil"/>
              <w:right w:val="nil"/>
            </w:tcBorders>
            <w:shd w:val="clear" w:color="auto" w:fill="auto"/>
            <w:noWrap/>
            <w:vAlign w:val="bottom"/>
            <w:hideMark/>
          </w:tcPr>
          <w:p w14:paraId="0A47C077" w14:textId="77777777" w:rsidR="00E77ED9" w:rsidRPr="00FE57FC" w:rsidRDefault="007E5578" w:rsidP="00B22C4D">
            <w:pPr>
              <w:spacing w:after="0" w:line="240" w:lineRule="auto"/>
              <w:jc w:val="both"/>
              <w:rPr>
                <w:rFonts w:ascii="Garamond" w:eastAsia="Times New Roman" w:hAnsi="Garamond" w:cs="Arial"/>
                <w:color w:val="002060"/>
                <w:lang w:eastAsia="pt-BR"/>
              </w:rPr>
            </w:pPr>
            <w:r w:rsidRPr="00FE57FC">
              <w:rPr>
                <w:rFonts w:ascii="Garamond" w:eastAsia="Times New Roman" w:hAnsi="Garamond" w:cs="Arial"/>
                <w:color w:val="002060"/>
                <w:lang w:eastAsia="pt-BR"/>
              </w:rPr>
              <w:t>Administração do FGIE</w:t>
            </w:r>
          </w:p>
        </w:tc>
        <w:tc>
          <w:tcPr>
            <w:tcW w:w="1304" w:type="dxa"/>
            <w:tcBorders>
              <w:top w:val="nil"/>
              <w:left w:val="nil"/>
              <w:right w:val="nil"/>
            </w:tcBorders>
            <w:shd w:val="clear" w:color="auto" w:fill="auto"/>
            <w:noWrap/>
            <w:vAlign w:val="bottom"/>
          </w:tcPr>
          <w:p w14:paraId="7DAF3BAA" w14:textId="77777777" w:rsidR="00E77ED9" w:rsidRPr="00FE57FC" w:rsidRDefault="00CB44D4" w:rsidP="00CB44D4">
            <w:pPr>
              <w:spacing w:after="0" w:line="240" w:lineRule="auto"/>
              <w:jc w:val="right"/>
              <w:rPr>
                <w:rFonts w:ascii="Garamond" w:eastAsia="Times New Roman" w:hAnsi="Garamond" w:cs="Arial"/>
                <w:color w:val="002060"/>
                <w:lang w:eastAsia="pt-BR"/>
              </w:rPr>
            </w:pPr>
            <w:r w:rsidRPr="00FE57FC">
              <w:rPr>
                <w:rFonts w:ascii="Garamond" w:eastAsia="Times New Roman" w:hAnsi="Garamond" w:cs="Arial"/>
                <w:color w:val="002060"/>
                <w:lang w:eastAsia="pt-BR"/>
              </w:rPr>
              <w:t>2.284.572</w:t>
            </w:r>
          </w:p>
        </w:tc>
        <w:tc>
          <w:tcPr>
            <w:tcW w:w="160" w:type="dxa"/>
            <w:tcBorders>
              <w:top w:val="nil"/>
              <w:left w:val="nil"/>
              <w:right w:val="nil"/>
            </w:tcBorders>
            <w:shd w:val="clear" w:color="auto" w:fill="auto"/>
            <w:vAlign w:val="bottom"/>
            <w:hideMark/>
          </w:tcPr>
          <w:p w14:paraId="4690EFEE" w14:textId="77777777" w:rsidR="00E77ED9" w:rsidRPr="00FE57FC" w:rsidRDefault="00E77ED9" w:rsidP="00CB44D4">
            <w:pPr>
              <w:spacing w:after="0" w:line="240" w:lineRule="auto"/>
              <w:jc w:val="right"/>
              <w:rPr>
                <w:rFonts w:ascii="Garamond" w:eastAsia="Times New Roman" w:hAnsi="Garamond" w:cs="Arial"/>
                <w:color w:val="002060"/>
                <w:lang w:eastAsia="pt-BR"/>
              </w:rPr>
            </w:pPr>
          </w:p>
        </w:tc>
        <w:tc>
          <w:tcPr>
            <w:tcW w:w="1276" w:type="dxa"/>
            <w:tcBorders>
              <w:top w:val="nil"/>
              <w:left w:val="nil"/>
              <w:right w:val="nil"/>
            </w:tcBorders>
            <w:shd w:val="clear" w:color="auto" w:fill="auto"/>
            <w:noWrap/>
            <w:vAlign w:val="bottom"/>
          </w:tcPr>
          <w:p w14:paraId="41514B03" w14:textId="77777777" w:rsidR="00E77ED9" w:rsidRPr="00FE57FC" w:rsidRDefault="00CB44D4" w:rsidP="00CB44D4">
            <w:pPr>
              <w:spacing w:after="0" w:line="240" w:lineRule="auto"/>
              <w:jc w:val="right"/>
              <w:rPr>
                <w:rFonts w:ascii="Garamond" w:eastAsia="Times New Roman" w:hAnsi="Garamond" w:cs="Arial"/>
                <w:color w:val="002060"/>
                <w:lang w:eastAsia="pt-BR"/>
              </w:rPr>
            </w:pPr>
            <w:r w:rsidRPr="00FE57FC">
              <w:rPr>
                <w:rFonts w:ascii="Garamond" w:eastAsia="Times New Roman" w:hAnsi="Garamond" w:cs="Arial"/>
                <w:color w:val="002060"/>
                <w:lang w:eastAsia="pt-BR"/>
              </w:rPr>
              <w:t>2.619.877</w:t>
            </w:r>
          </w:p>
        </w:tc>
        <w:tc>
          <w:tcPr>
            <w:tcW w:w="160" w:type="dxa"/>
            <w:tcBorders>
              <w:top w:val="nil"/>
              <w:left w:val="nil"/>
              <w:right w:val="nil"/>
            </w:tcBorders>
            <w:shd w:val="clear" w:color="auto" w:fill="auto"/>
            <w:vAlign w:val="center"/>
            <w:hideMark/>
          </w:tcPr>
          <w:p w14:paraId="66B78BDA" w14:textId="77777777" w:rsidR="00E77ED9" w:rsidRPr="00FE57FC" w:rsidRDefault="00E77ED9" w:rsidP="007E59CF">
            <w:pPr>
              <w:spacing w:after="0" w:line="240" w:lineRule="auto"/>
              <w:jc w:val="center"/>
              <w:rPr>
                <w:rFonts w:ascii="Garamond" w:eastAsia="Times New Roman" w:hAnsi="Garamond" w:cs="Arial"/>
                <w:color w:val="002060"/>
                <w:lang w:eastAsia="pt-BR"/>
              </w:rPr>
            </w:pPr>
          </w:p>
        </w:tc>
        <w:tc>
          <w:tcPr>
            <w:tcW w:w="1361" w:type="dxa"/>
            <w:tcBorders>
              <w:top w:val="nil"/>
              <w:left w:val="nil"/>
              <w:right w:val="nil"/>
            </w:tcBorders>
            <w:shd w:val="clear" w:color="auto" w:fill="auto"/>
            <w:vAlign w:val="bottom"/>
          </w:tcPr>
          <w:p w14:paraId="2A7D1B44" w14:textId="77777777" w:rsidR="00E77ED9" w:rsidRPr="00FE57FC" w:rsidRDefault="00CB44D4" w:rsidP="007E59CF">
            <w:pPr>
              <w:spacing w:after="0" w:line="240" w:lineRule="auto"/>
              <w:jc w:val="center"/>
              <w:rPr>
                <w:rFonts w:ascii="Garamond" w:eastAsia="Times New Roman" w:hAnsi="Garamond" w:cs="Arial"/>
                <w:color w:val="002060"/>
                <w:lang w:eastAsia="pt-BR"/>
              </w:rPr>
            </w:pPr>
            <w:r w:rsidRPr="00FE57FC">
              <w:rPr>
                <w:rFonts w:ascii="Garamond" w:eastAsia="Times New Roman" w:hAnsi="Garamond" w:cs="Arial"/>
                <w:color w:val="002060"/>
                <w:lang w:eastAsia="pt-BR"/>
              </w:rPr>
              <w:t>-12,8%</w:t>
            </w:r>
          </w:p>
        </w:tc>
      </w:tr>
      <w:tr w:rsidR="00FE57FC" w:rsidRPr="00FE57FC" w14:paraId="226A6790" w14:textId="77777777" w:rsidTr="007E59CF">
        <w:trPr>
          <w:trHeight w:hRule="exact" w:val="255"/>
        </w:trPr>
        <w:tc>
          <w:tcPr>
            <w:tcW w:w="4252" w:type="dxa"/>
            <w:tcBorders>
              <w:top w:val="nil"/>
              <w:left w:val="nil"/>
              <w:bottom w:val="nil"/>
              <w:right w:val="nil"/>
            </w:tcBorders>
            <w:shd w:val="clear" w:color="auto" w:fill="auto"/>
            <w:noWrap/>
            <w:vAlign w:val="bottom"/>
            <w:hideMark/>
          </w:tcPr>
          <w:p w14:paraId="36F2970C" w14:textId="77777777" w:rsidR="00E77ED9" w:rsidRPr="00FE57FC" w:rsidRDefault="007E5578" w:rsidP="00B22C4D">
            <w:pPr>
              <w:spacing w:after="0" w:line="240" w:lineRule="auto"/>
              <w:jc w:val="both"/>
              <w:rPr>
                <w:rFonts w:ascii="Garamond" w:eastAsia="Times New Roman" w:hAnsi="Garamond" w:cs="Arial"/>
                <w:color w:val="002060"/>
                <w:lang w:eastAsia="pt-BR"/>
              </w:rPr>
            </w:pPr>
            <w:r w:rsidRPr="00FE57FC">
              <w:rPr>
                <w:rFonts w:ascii="Garamond" w:eastAsia="Times New Roman" w:hAnsi="Garamond" w:cs="Arial"/>
                <w:color w:val="002060"/>
                <w:lang w:eastAsia="pt-BR"/>
              </w:rPr>
              <w:t>Gestão do FESR</w:t>
            </w:r>
          </w:p>
        </w:tc>
        <w:tc>
          <w:tcPr>
            <w:tcW w:w="1304" w:type="dxa"/>
            <w:tcBorders>
              <w:top w:val="nil"/>
              <w:left w:val="nil"/>
              <w:right w:val="nil"/>
            </w:tcBorders>
            <w:shd w:val="clear" w:color="auto" w:fill="auto"/>
            <w:noWrap/>
            <w:vAlign w:val="bottom"/>
          </w:tcPr>
          <w:p w14:paraId="139976A3" w14:textId="77777777" w:rsidR="00E77ED9" w:rsidRPr="00FE57FC" w:rsidRDefault="00CB44D4" w:rsidP="00CB44D4">
            <w:pPr>
              <w:spacing w:after="0" w:line="240" w:lineRule="auto"/>
              <w:jc w:val="right"/>
              <w:rPr>
                <w:rFonts w:ascii="Garamond" w:eastAsia="Times New Roman" w:hAnsi="Garamond" w:cs="Arial"/>
                <w:color w:val="002060"/>
                <w:lang w:eastAsia="pt-BR"/>
              </w:rPr>
            </w:pPr>
            <w:r w:rsidRPr="00FE57FC">
              <w:rPr>
                <w:rFonts w:ascii="Garamond" w:eastAsia="Times New Roman" w:hAnsi="Garamond" w:cs="Arial"/>
                <w:color w:val="002060"/>
                <w:lang w:eastAsia="pt-BR"/>
              </w:rPr>
              <w:t>5.046.821</w:t>
            </w:r>
          </w:p>
        </w:tc>
        <w:tc>
          <w:tcPr>
            <w:tcW w:w="160" w:type="dxa"/>
            <w:tcBorders>
              <w:top w:val="nil"/>
              <w:left w:val="nil"/>
              <w:right w:val="nil"/>
            </w:tcBorders>
            <w:shd w:val="clear" w:color="auto" w:fill="auto"/>
            <w:vAlign w:val="bottom"/>
            <w:hideMark/>
          </w:tcPr>
          <w:p w14:paraId="01690570" w14:textId="77777777" w:rsidR="00E77ED9" w:rsidRPr="00FE57FC" w:rsidRDefault="00E77ED9" w:rsidP="00CB44D4">
            <w:pPr>
              <w:spacing w:after="0" w:line="240" w:lineRule="auto"/>
              <w:jc w:val="right"/>
              <w:rPr>
                <w:rFonts w:ascii="Garamond" w:eastAsia="Times New Roman" w:hAnsi="Garamond" w:cs="Arial"/>
                <w:color w:val="002060"/>
                <w:lang w:eastAsia="pt-BR"/>
              </w:rPr>
            </w:pPr>
          </w:p>
        </w:tc>
        <w:tc>
          <w:tcPr>
            <w:tcW w:w="1276" w:type="dxa"/>
            <w:tcBorders>
              <w:top w:val="nil"/>
              <w:left w:val="nil"/>
              <w:right w:val="nil"/>
            </w:tcBorders>
            <w:shd w:val="clear" w:color="auto" w:fill="auto"/>
            <w:noWrap/>
            <w:vAlign w:val="bottom"/>
          </w:tcPr>
          <w:p w14:paraId="35025256" w14:textId="77777777" w:rsidR="00E77ED9" w:rsidRPr="00FE57FC" w:rsidRDefault="00CB44D4" w:rsidP="00CB44D4">
            <w:pPr>
              <w:spacing w:after="0" w:line="240" w:lineRule="auto"/>
              <w:jc w:val="right"/>
              <w:rPr>
                <w:rFonts w:ascii="Garamond" w:eastAsia="Times New Roman" w:hAnsi="Garamond" w:cs="Arial"/>
                <w:color w:val="002060"/>
                <w:lang w:eastAsia="pt-BR"/>
              </w:rPr>
            </w:pPr>
            <w:r w:rsidRPr="00FE57FC">
              <w:rPr>
                <w:rFonts w:ascii="Garamond" w:eastAsia="Times New Roman" w:hAnsi="Garamond" w:cs="Arial"/>
                <w:color w:val="002060"/>
                <w:lang w:eastAsia="pt-BR"/>
              </w:rPr>
              <w:t>5.651.219</w:t>
            </w:r>
          </w:p>
        </w:tc>
        <w:tc>
          <w:tcPr>
            <w:tcW w:w="160" w:type="dxa"/>
            <w:tcBorders>
              <w:top w:val="nil"/>
              <w:left w:val="nil"/>
              <w:right w:val="nil"/>
            </w:tcBorders>
            <w:shd w:val="clear" w:color="auto" w:fill="auto"/>
            <w:vAlign w:val="center"/>
            <w:hideMark/>
          </w:tcPr>
          <w:p w14:paraId="351D6D02" w14:textId="77777777" w:rsidR="00E77ED9" w:rsidRPr="00FE57FC" w:rsidRDefault="00E77ED9" w:rsidP="007E59CF">
            <w:pPr>
              <w:spacing w:after="0" w:line="240" w:lineRule="auto"/>
              <w:jc w:val="center"/>
              <w:rPr>
                <w:rFonts w:ascii="Garamond" w:eastAsia="Times New Roman" w:hAnsi="Garamond" w:cs="Arial"/>
                <w:color w:val="002060"/>
                <w:lang w:eastAsia="pt-BR"/>
              </w:rPr>
            </w:pPr>
          </w:p>
        </w:tc>
        <w:tc>
          <w:tcPr>
            <w:tcW w:w="1361" w:type="dxa"/>
            <w:tcBorders>
              <w:top w:val="nil"/>
              <w:left w:val="nil"/>
              <w:right w:val="nil"/>
            </w:tcBorders>
            <w:shd w:val="clear" w:color="auto" w:fill="auto"/>
            <w:vAlign w:val="bottom"/>
          </w:tcPr>
          <w:p w14:paraId="44EBBACF" w14:textId="77777777" w:rsidR="007E5578" w:rsidRPr="00FE57FC" w:rsidRDefault="00CB44D4" w:rsidP="007E59CF">
            <w:pPr>
              <w:spacing w:after="0" w:line="240" w:lineRule="auto"/>
              <w:jc w:val="center"/>
              <w:rPr>
                <w:rFonts w:ascii="Garamond" w:eastAsia="Times New Roman" w:hAnsi="Garamond" w:cs="Arial"/>
                <w:color w:val="002060"/>
                <w:lang w:eastAsia="pt-BR"/>
              </w:rPr>
            </w:pPr>
            <w:r w:rsidRPr="00FE57FC">
              <w:rPr>
                <w:rFonts w:ascii="Garamond" w:eastAsia="Times New Roman" w:hAnsi="Garamond" w:cs="Arial"/>
                <w:color w:val="002060"/>
                <w:lang w:eastAsia="pt-BR"/>
              </w:rPr>
              <w:t>-10,7%</w:t>
            </w:r>
          </w:p>
        </w:tc>
      </w:tr>
      <w:tr w:rsidR="00FE57FC" w:rsidRPr="00FE57FC" w14:paraId="0AD8F689" w14:textId="77777777" w:rsidTr="007E59CF">
        <w:trPr>
          <w:trHeight w:hRule="exact" w:val="255"/>
        </w:trPr>
        <w:tc>
          <w:tcPr>
            <w:tcW w:w="4252" w:type="dxa"/>
            <w:tcBorders>
              <w:top w:val="nil"/>
              <w:left w:val="nil"/>
              <w:bottom w:val="nil"/>
              <w:right w:val="nil"/>
            </w:tcBorders>
            <w:shd w:val="clear" w:color="auto" w:fill="auto"/>
            <w:noWrap/>
            <w:vAlign w:val="bottom"/>
          </w:tcPr>
          <w:p w14:paraId="6713BEB3" w14:textId="77777777" w:rsidR="007E5578" w:rsidRPr="00FE57FC" w:rsidRDefault="007E5578" w:rsidP="00B22C4D">
            <w:pPr>
              <w:spacing w:after="0" w:line="240" w:lineRule="auto"/>
              <w:jc w:val="both"/>
              <w:rPr>
                <w:rFonts w:ascii="Garamond" w:eastAsia="Times New Roman" w:hAnsi="Garamond" w:cs="Arial"/>
                <w:color w:val="002060"/>
                <w:lang w:eastAsia="pt-BR"/>
              </w:rPr>
            </w:pPr>
            <w:r w:rsidRPr="00FE57FC">
              <w:rPr>
                <w:rFonts w:ascii="Garamond" w:eastAsia="Times New Roman" w:hAnsi="Garamond" w:cs="Arial"/>
                <w:color w:val="002060"/>
                <w:lang w:eastAsia="pt-BR"/>
              </w:rPr>
              <w:t>Análise de Crédito</w:t>
            </w:r>
          </w:p>
        </w:tc>
        <w:tc>
          <w:tcPr>
            <w:tcW w:w="1304" w:type="dxa"/>
            <w:tcBorders>
              <w:left w:val="nil"/>
              <w:bottom w:val="double" w:sz="6" w:space="0" w:color="003366"/>
              <w:right w:val="nil"/>
            </w:tcBorders>
            <w:shd w:val="clear" w:color="auto" w:fill="auto"/>
            <w:noWrap/>
            <w:vAlign w:val="bottom"/>
          </w:tcPr>
          <w:p w14:paraId="7B87CC7D" w14:textId="77777777" w:rsidR="007E5578" w:rsidRPr="00FE57FC" w:rsidRDefault="00CB44D4" w:rsidP="00CB44D4">
            <w:pPr>
              <w:spacing w:after="0" w:line="240" w:lineRule="auto"/>
              <w:jc w:val="right"/>
              <w:rPr>
                <w:rFonts w:ascii="Garamond" w:eastAsia="Times New Roman" w:hAnsi="Garamond" w:cs="Arial"/>
                <w:color w:val="002060"/>
                <w:lang w:eastAsia="pt-BR"/>
              </w:rPr>
            </w:pPr>
            <w:r w:rsidRPr="00FE57FC">
              <w:rPr>
                <w:rFonts w:ascii="Garamond" w:eastAsia="Times New Roman" w:hAnsi="Garamond" w:cs="Arial"/>
                <w:color w:val="002060"/>
                <w:lang w:eastAsia="pt-BR"/>
              </w:rPr>
              <w:t>0</w:t>
            </w:r>
          </w:p>
        </w:tc>
        <w:tc>
          <w:tcPr>
            <w:tcW w:w="160" w:type="dxa"/>
            <w:tcBorders>
              <w:left w:val="nil"/>
              <w:bottom w:val="nil"/>
              <w:right w:val="nil"/>
            </w:tcBorders>
            <w:shd w:val="clear" w:color="auto" w:fill="auto"/>
            <w:vAlign w:val="bottom"/>
          </w:tcPr>
          <w:p w14:paraId="23BCD418" w14:textId="77777777" w:rsidR="007E5578" w:rsidRPr="00FE57FC" w:rsidRDefault="007E5578" w:rsidP="00CB44D4">
            <w:pPr>
              <w:spacing w:after="0" w:line="240" w:lineRule="auto"/>
              <w:jc w:val="right"/>
              <w:rPr>
                <w:rFonts w:ascii="Garamond" w:eastAsia="Times New Roman" w:hAnsi="Garamond" w:cs="Arial"/>
                <w:color w:val="002060"/>
                <w:lang w:eastAsia="pt-BR"/>
              </w:rPr>
            </w:pPr>
          </w:p>
        </w:tc>
        <w:tc>
          <w:tcPr>
            <w:tcW w:w="1276" w:type="dxa"/>
            <w:tcBorders>
              <w:left w:val="nil"/>
              <w:bottom w:val="double" w:sz="6" w:space="0" w:color="003366"/>
              <w:right w:val="nil"/>
            </w:tcBorders>
            <w:shd w:val="clear" w:color="auto" w:fill="auto"/>
            <w:noWrap/>
            <w:vAlign w:val="bottom"/>
          </w:tcPr>
          <w:p w14:paraId="1E2159CA" w14:textId="77777777" w:rsidR="007E5578" w:rsidRPr="00FE57FC" w:rsidDel="00131C20" w:rsidRDefault="00CB44D4" w:rsidP="00CB44D4">
            <w:pPr>
              <w:spacing w:after="0" w:line="240" w:lineRule="auto"/>
              <w:jc w:val="right"/>
              <w:rPr>
                <w:rFonts w:ascii="Garamond" w:eastAsia="Times New Roman" w:hAnsi="Garamond" w:cs="Arial"/>
                <w:color w:val="002060"/>
                <w:lang w:eastAsia="pt-BR"/>
              </w:rPr>
            </w:pPr>
            <w:r w:rsidRPr="00FE57FC">
              <w:rPr>
                <w:rFonts w:ascii="Garamond" w:eastAsia="Times New Roman" w:hAnsi="Garamond" w:cs="Arial"/>
                <w:color w:val="002060"/>
                <w:lang w:eastAsia="pt-BR"/>
              </w:rPr>
              <w:t>13.322</w:t>
            </w:r>
          </w:p>
        </w:tc>
        <w:tc>
          <w:tcPr>
            <w:tcW w:w="160" w:type="dxa"/>
            <w:tcBorders>
              <w:left w:val="nil"/>
              <w:bottom w:val="nil"/>
              <w:right w:val="nil"/>
            </w:tcBorders>
            <w:shd w:val="clear" w:color="auto" w:fill="auto"/>
            <w:vAlign w:val="center"/>
          </w:tcPr>
          <w:p w14:paraId="007E4F49" w14:textId="77777777" w:rsidR="007E5578" w:rsidRPr="00FE57FC" w:rsidRDefault="007E5578" w:rsidP="007E59CF">
            <w:pPr>
              <w:spacing w:after="0" w:line="240" w:lineRule="auto"/>
              <w:jc w:val="center"/>
              <w:rPr>
                <w:rFonts w:ascii="Garamond" w:eastAsia="Times New Roman" w:hAnsi="Garamond" w:cs="Arial"/>
                <w:color w:val="002060"/>
                <w:lang w:eastAsia="pt-BR"/>
              </w:rPr>
            </w:pPr>
          </w:p>
        </w:tc>
        <w:tc>
          <w:tcPr>
            <w:tcW w:w="1361" w:type="dxa"/>
            <w:tcBorders>
              <w:left w:val="nil"/>
              <w:bottom w:val="double" w:sz="6" w:space="0" w:color="003366"/>
              <w:right w:val="nil"/>
            </w:tcBorders>
            <w:shd w:val="clear" w:color="auto" w:fill="auto"/>
            <w:vAlign w:val="bottom"/>
          </w:tcPr>
          <w:p w14:paraId="08B46024" w14:textId="77777777" w:rsidR="007E5578" w:rsidRPr="00FE57FC" w:rsidRDefault="00CB44D4" w:rsidP="007E59CF">
            <w:pPr>
              <w:spacing w:after="0" w:line="240" w:lineRule="auto"/>
              <w:jc w:val="center"/>
              <w:rPr>
                <w:rFonts w:ascii="Garamond" w:eastAsia="Times New Roman" w:hAnsi="Garamond" w:cs="Arial"/>
                <w:color w:val="002060"/>
                <w:lang w:eastAsia="pt-BR"/>
              </w:rPr>
            </w:pPr>
            <w:r w:rsidRPr="00FE57FC">
              <w:rPr>
                <w:rFonts w:ascii="Garamond" w:eastAsia="Times New Roman" w:hAnsi="Garamond" w:cs="Arial"/>
                <w:color w:val="002060"/>
                <w:lang w:eastAsia="pt-BR"/>
              </w:rPr>
              <w:t>-100%</w:t>
            </w:r>
          </w:p>
        </w:tc>
      </w:tr>
      <w:tr w:rsidR="00E77ED9" w:rsidRPr="00FE57FC" w14:paraId="1669F228" w14:textId="77777777" w:rsidTr="007E59CF">
        <w:trPr>
          <w:trHeight w:hRule="exact" w:val="300"/>
        </w:trPr>
        <w:tc>
          <w:tcPr>
            <w:tcW w:w="4252" w:type="dxa"/>
            <w:tcBorders>
              <w:top w:val="nil"/>
              <w:left w:val="nil"/>
              <w:bottom w:val="nil"/>
              <w:right w:val="nil"/>
            </w:tcBorders>
            <w:shd w:val="clear" w:color="auto" w:fill="auto"/>
            <w:noWrap/>
            <w:vAlign w:val="center"/>
            <w:hideMark/>
          </w:tcPr>
          <w:p w14:paraId="4076A040" w14:textId="77777777" w:rsidR="00E77ED9" w:rsidRPr="00FE57FC" w:rsidRDefault="00E77ED9" w:rsidP="00B22C4D">
            <w:pPr>
              <w:spacing w:after="0" w:line="240" w:lineRule="auto"/>
              <w:jc w:val="both"/>
              <w:rPr>
                <w:rFonts w:ascii="Garamond" w:eastAsia="Times New Roman" w:hAnsi="Garamond" w:cs="Arial"/>
                <w:b/>
                <w:bCs/>
                <w:color w:val="002060"/>
                <w:lang w:eastAsia="pt-BR"/>
              </w:rPr>
            </w:pPr>
            <w:r w:rsidRPr="00FE57FC">
              <w:rPr>
                <w:rFonts w:ascii="Garamond" w:eastAsia="Times New Roman" w:hAnsi="Garamond" w:cs="Arial"/>
                <w:b/>
                <w:bCs/>
                <w:color w:val="002060"/>
                <w:lang w:eastAsia="pt-BR"/>
              </w:rPr>
              <w:t>Receita de serviços</w:t>
            </w:r>
          </w:p>
        </w:tc>
        <w:tc>
          <w:tcPr>
            <w:tcW w:w="1304" w:type="dxa"/>
            <w:tcBorders>
              <w:top w:val="double" w:sz="6" w:space="0" w:color="003366"/>
              <w:left w:val="nil"/>
              <w:right w:val="nil"/>
            </w:tcBorders>
            <w:shd w:val="clear" w:color="auto" w:fill="auto"/>
            <w:noWrap/>
            <w:vAlign w:val="center"/>
          </w:tcPr>
          <w:p w14:paraId="21EE9B78" w14:textId="77777777" w:rsidR="00E77ED9" w:rsidRPr="00FE57FC" w:rsidRDefault="00CB44D4" w:rsidP="007E59CF">
            <w:pPr>
              <w:spacing w:after="0" w:line="240" w:lineRule="auto"/>
              <w:jc w:val="center"/>
              <w:rPr>
                <w:rFonts w:ascii="Garamond" w:eastAsia="Times New Roman" w:hAnsi="Garamond" w:cs="Arial"/>
                <w:b/>
                <w:bCs/>
                <w:color w:val="002060"/>
                <w:lang w:eastAsia="pt-BR"/>
              </w:rPr>
            </w:pPr>
            <w:r w:rsidRPr="00FE57FC">
              <w:rPr>
                <w:rFonts w:ascii="Garamond" w:eastAsia="Times New Roman" w:hAnsi="Garamond" w:cs="Arial"/>
                <w:b/>
                <w:bCs/>
                <w:color w:val="002060"/>
                <w:lang w:eastAsia="pt-BR"/>
              </w:rPr>
              <w:t>18.028.434</w:t>
            </w:r>
          </w:p>
        </w:tc>
        <w:tc>
          <w:tcPr>
            <w:tcW w:w="160" w:type="dxa"/>
            <w:tcBorders>
              <w:top w:val="nil"/>
              <w:left w:val="nil"/>
              <w:bottom w:val="nil"/>
              <w:right w:val="nil"/>
            </w:tcBorders>
            <w:shd w:val="clear" w:color="auto" w:fill="auto"/>
            <w:vAlign w:val="center"/>
            <w:hideMark/>
          </w:tcPr>
          <w:p w14:paraId="59CF0F14" w14:textId="77777777" w:rsidR="00E77ED9" w:rsidRPr="00FE57FC" w:rsidRDefault="00E77ED9" w:rsidP="007E59CF">
            <w:pPr>
              <w:spacing w:after="0" w:line="240" w:lineRule="auto"/>
              <w:jc w:val="center"/>
              <w:rPr>
                <w:rFonts w:ascii="Garamond" w:eastAsia="Times New Roman" w:hAnsi="Garamond" w:cs="Arial"/>
                <w:b/>
                <w:bCs/>
                <w:color w:val="002060"/>
                <w:lang w:eastAsia="pt-BR"/>
              </w:rPr>
            </w:pPr>
          </w:p>
        </w:tc>
        <w:tc>
          <w:tcPr>
            <w:tcW w:w="1276" w:type="dxa"/>
            <w:tcBorders>
              <w:top w:val="double" w:sz="6" w:space="0" w:color="003366"/>
              <w:left w:val="nil"/>
              <w:right w:val="nil"/>
            </w:tcBorders>
            <w:shd w:val="clear" w:color="auto" w:fill="auto"/>
            <w:noWrap/>
            <w:vAlign w:val="center"/>
          </w:tcPr>
          <w:p w14:paraId="77824CDA" w14:textId="77777777" w:rsidR="00E77ED9" w:rsidRPr="00FE57FC" w:rsidRDefault="00CB44D4" w:rsidP="007E59CF">
            <w:pPr>
              <w:spacing w:after="0" w:line="240" w:lineRule="auto"/>
              <w:jc w:val="center"/>
              <w:rPr>
                <w:rFonts w:ascii="Garamond" w:eastAsia="Times New Roman" w:hAnsi="Garamond" w:cs="Arial"/>
                <w:b/>
                <w:bCs/>
                <w:color w:val="002060"/>
                <w:lang w:eastAsia="pt-BR"/>
              </w:rPr>
            </w:pPr>
            <w:r w:rsidRPr="00FE57FC">
              <w:rPr>
                <w:rFonts w:ascii="Garamond" w:eastAsia="Times New Roman" w:hAnsi="Garamond" w:cs="Arial"/>
                <w:b/>
                <w:bCs/>
                <w:color w:val="002060"/>
                <w:lang w:eastAsia="pt-BR"/>
              </w:rPr>
              <w:t>25.644.057</w:t>
            </w:r>
          </w:p>
        </w:tc>
        <w:tc>
          <w:tcPr>
            <w:tcW w:w="160" w:type="dxa"/>
            <w:tcBorders>
              <w:top w:val="nil"/>
              <w:left w:val="nil"/>
              <w:bottom w:val="nil"/>
              <w:right w:val="nil"/>
            </w:tcBorders>
            <w:shd w:val="clear" w:color="auto" w:fill="auto"/>
            <w:vAlign w:val="center"/>
            <w:hideMark/>
          </w:tcPr>
          <w:p w14:paraId="5CCB3830" w14:textId="77777777" w:rsidR="00E77ED9" w:rsidRPr="00FE57FC" w:rsidRDefault="00E77ED9" w:rsidP="007E59CF">
            <w:pPr>
              <w:spacing w:after="0" w:line="240" w:lineRule="auto"/>
              <w:jc w:val="center"/>
              <w:rPr>
                <w:rFonts w:ascii="Garamond" w:eastAsia="Times New Roman" w:hAnsi="Garamond" w:cs="Arial"/>
                <w:b/>
                <w:bCs/>
                <w:color w:val="002060"/>
                <w:lang w:eastAsia="pt-BR"/>
              </w:rPr>
            </w:pPr>
          </w:p>
        </w:tc>
        <w:tc>
          <w:tcPr>
            <w:tcW w:w="1361" w:type="dxa"/>
            <w:tcBorders>
              <w:top w:val="double" w:sz="6" w:space="0" w:color="003366"/>
              <w:left w:val="nil"/>
              <w:right w:val="nil"/>
            </w:tcBorders>
            <w:shd w:val="clear" w:color="auto" w:fill="auto"/>
            <w:vAlign w:val="center"/>
          </w:tcPr>
          <w:p w14:paraId="7B375FFA" w14:textId="77777777" w:rsidR="00E77ED9" w:rsidRPr="00FE57FC" w:rsidRDefault="00CB44D4" w:rsidP="007E59CF">
            <w:pPr>
              <w:spacing w:after="0" w:line="240" w:lineRule="auto"/>
              <w:jc w:val="center"/>
              <w:rPr>
                <w:rFonts w:ascii="Garamond" w:eastAsia="Times New Roman" w:hAnsi="Garamond" w:cs="Arial"/>
                <w:b/>
                <w:bCs/>
                <w:color w:val="002060"/>
                <w:lang w:eastAsia="pt-BR"/>
              </w:rPr>
            </w:pPr>
            <w:r w:rsidRPr="00FE57FC">
              <w:rPr>
                <w:rFonts w:ascii="Garamond" w:eastAsia="Times New Roman" w:hAnsi="Garamond" w:cs="Arial"/>
                <w:b/>
                <w:bCs/>
                <w:color w:val="002060"/>
                <w:lang w:eastAsia="pt-BR"/>
              </w:rPr>
              <w:t>-29,7%</w:t>
            </w:r>
          </w:p>
        </w:tc>
      </w:tr>
    </w:tbl>
    <w:p w14:paraId="797BB794" w14:textId="77777777" w:rsidR="009A3BAD" w:rsidRPr="00FE57FC" w:rsidRDefault="009A3BAD" w:rsidP="009A3BAD">
      <w:pPr>
        <w:spacing w:after="0"/>
        <w:jc w:val="both"/>
        <w:rPr>
          <w:rFonts w:ascii="Garamond" w:eastAsia="Times New Roman" w:hAnsi="Garamond" w:cs="Arial"/>
          <w:color w:val="002060"/>
          <w:sz w:val="24"/>
          <w:szCs w:val="24"/>
          <w:lang w:eastAsia="pt-BR"/>
        </w:rPr>
      </w:pPr>
    </w:p>
    <w:p w14:paraId="1A3E9ACF" w14:textId="77777777" w:rsidR="00CB44D4" w:rsidRPr="00FE57FC" w:rsidRDefault="00CB44D4" w:rsidP="007E59CF">
      <w:pPr>
        <w:jc w:val="both"/>
        <w:rPr>
          <w:rFonts w:ascii="Garamond" w:eastAsia="Times New Roman" w:hAnsi="Garamond" w:cs="Arial"/>
          <w:color w:val="002060"/>
          <w:sz w:val="24"/>
          <w:szCs w:val="24"/>
          <w:lang w:eastAsia="pt-BR"/>
        </w:rPr>
      </w:pPr>
      <w:r w:rsidRPr="00FE57FC">
        <w:rPr>
          <w:rFonts w:ascii="Garamond" w:eastAsia="Times New Roman" w:hAnsi="Garamond" w:cs="Arial"/>
          <w:color w:val="002060"/>
          <w:sz w:val="24"/>
          <w:szCs w:val="24"/>
          <w:lang w:eastAsia="pt-BR"/>
        </w:rPr>
        <w:t xml:space="preserve">A redução das receitas deve-se, principalmente, a redução na ordem de 38,4% no Contrato de Prestação de Serviços a SE-CAMEX. Cumpre registrar que em 2020 a ABGF não realizou operações de seguro de crédito à exportação com garantia direta, uma vez que o produto foi encerrado no segundo semestre de 2019. </w:t>
      </w:r>
    </w:p>
    <w:p w14:paraId="6EC5BC5B" w14:textId="35B05E67" w:rsidR="000850DE" w:rsidRDefault="000850DE" w:rsidP="009A3BAD">
      <w:pPr>
        <w:spacing w:after="0"/>
        <w:jc w:val="both"/>
        <w:rPr>
          <w:rFonts w:ascii="Garamond" w:eastAsia="Times New Roman" w:hAnsi="Garamond" w:cs="Arial"/>
          <w:color w:val="002060"/>
          <w:sz w:val="24"/>
          <w:szCs w:val="24"/>
          <w:lang w:eastAsia="pt-BR"/>
        </w:rPr>
      </w:pPr>
      <w:r w:rsidRPr="00FE57FC">
        <w:rPr>
          <w:rFonts w:ascii="Garamond" w:eastAsia="Times New Roman" w:hAnsi="Garamond" w:cs="Arial"/>
          <w:color w:val="002060"/>
          <w:sz w:val="24"/>
          <w:szCs w:val="24"/>
          <w:lang w:eastAsia="pt-BR"/>
        </w:rPr>
        <w:t>A eficiência operacional é calculada pela relação entre a despesa operacional e a receita líquida operacional. Eventuais reduções ou incrementos de receitas também devem ser considerados no cálculo. O quadro a seguir demonstra o Índice de Eficiência Operacional dos períodos de 2019 e 2020:</w:t>
      </w:r>
    </w:p>
    <w:p w14:paraId="4A225E79" w14:textId="77777777" w:rsidR="00A07AB3" w:rsidRPr="00FE57FC" w:rsidRDefault="00A07AB3" w:rsidP="009A3BAD">
      <w:pPr>
        <w:spacing w:after="0"/>
        <w:jc w:val="both"/>
        <w:rPr>
          <w:rFonts w:ascii="Garamond" w:eastAsia="Times New Roman" w:hAnsi="Garamond" w:cs="Arial"/>
          <w:color w:val="002060"/>
          <w:sz w:val="24"/>
          <w:szCs w:val="24"/>
          <w:lang w:eastAsia="pt-BR"/>
        </w:rPr>
      </w:pPr>
    </w:p>
    <w:p w14:paraId="32D7E200" w14:textId="77777777" w:rsidR="000850DE" w:rsidRPr="00FE57FC" w:rsidRDefault="000850DE" w:rsidP="000850DE">
      <w:pPr>
        <w:tabs>
          <w:tab w:val="right" w:pos="3402"/>
        </w:tabs>
        <w:spacing w:after="0" w:line="240" w:lineRule="auto"/>
        <w:ind w:firstLine="2835"/>
        <w:jc w:val="right"/>
        <w:rPr>
          <w:rFonts w:ascii="Garamond" w:eastAsia="Times New Roman" w:hAnsi="Garamond" w:cs="Arial"/>
          <w:b/>
          <w:bCs/>
          <w:color w:val="002060"/>
          <w:sz w:val="24"/>
          <w:szCs w:val="24"/>
          <w:lang w:eastAsia="pt-BR"/>
        </w:rPr>
      </w:pPr>
      <w:r w:rsidRPr="00FE57FC">
        <w:rPr>
          <w:rFonts w:ascii="Garamond" w:eastAsia="Times New Roman" w:hAnsi="Garamond" w:cs="Arial"/>
          <w:b/>
          <w:bCs/>
          <w:color w:val="002060"/>
          <w:sz w:val="24"/>
          <w:szCs w:val="24"/>
          <w:lang w:eastAsia="pt-BR"/>
        </w:rPr>
        <w:t>R$</w:t>
      </w:r>
    </w:p>
    <w:tbl>
      <w:tblPr>
        <w:tblW w:w="5000" w:type="pct"/>
        <w:tblCellMar>
          <w:left w:w="70" w:type="dxa"/>
          <w:right w:w="70" w:type="dxa"/>
        </w:tblCellMar>
        <w:tblLook w:val="04A0" w:firstRow="1" w:lastRow="0" w:firstColumn="1" w:lastColumn="0" w:noHBand="0" w:noVBand="1"/>
      </w:tblPr>
      <w:tblGrid>
        <w:gridCol w:w="3178"/>
        <w:gridCol w:w="2623"/>
        <w:gridCol w:w="2703"/>
      </w:tblGrid>
      <w:tr w:rsidR="00FE57FC" w:rsidRPr="00FE57FC" w14:paraId="4726517D" w14:textId="77777777" w:rsidTr="00B22C4D">
        <w:trPr>
          <w:trHeight w:val="255"/>
        </w:trPr>
        <w:tc>
          <w:tcPr>
            <w:tcW w:w="1869" w:type="pct"/>
            <w:tcBorders>
              <w:top w:val="nil"/>
              <w:left w:val="nil"/>
              <w:bottom w:val="nil"/>
              <w:right w:val="nil"/>
            </w:tcBorders>
            <w:shd w:val="clear" w:color="auto" w:fill="DBE5F1" w:themeFill="accent1" w:themeFillTint="33"/>
            <w:noWrap/>
            <w:vAlign w:val="bottom"/>
            <w:hideMark/>
          </w:tcPr>
          <w:p w14:paraId="1F05E60E" w14:textId="77777777" w:rsidR="000850DE" w:rsidRPr="00FE57FC" w:rsidRDefault="000850DE" w:rsidP="000850DE">
            <w:pPr>
              <w:spacing w:after="0" w:line="240" w:lineRule="auto"/>
              <w:jc w:val="center"/>
              <w:rPr>
                <w:rFonts w:ascii="Garamond" w:eastAsia="Times New Roman" w:hAnsi="Garamond" w:cs="Arial"/>
                <w:b/>
                <w:bCs/>
                <w:color w:val="002060"/>
                <w:lang w:eastAsia="pt-BR"/>
              </w:rPr>
            </w:pPr>
            <w:r w:rsidRPr="00FE57FC">
              <w:rPr>
                <w:rFonts w:ascii="Garamond" w:eastAsia="Times New Roman" w:hAnsi="Garamond" w:cs="Arial"/>
                <w:b/>
                <w:bCs/>
                <w:color w:val="002060"/>
                <w:lang w:eastAsia="pt-BR"/>
              </w:rPr>
              <w:t>EFICIÊNCIA OPERACIONAL</w:t>
            </w:r>
          </w:p>
        </w:tc>
        <w:tc>
          <w:tcPr>
            <w:tcW w:w="1542" w:type="pct"/>
            <w:tcBorders>
              <w:top w:val="nil"/>
              <w:left w:val="nil"/>
              <w:bottom w:val="nil"/>
              <w:right w:val="nil"/>
            </w:tcBorders>
            <w:shd w:val="clear" w:color="auto" w:fill="DBE5F1" w:themeFill="accent1" w:themeFillTint="33"/>
            <w:noWrap/>
            <w:vAlign w:val="bottom"/>
            <w:hideMark/>
          </w:tcPr>
          <w:p w14:paraId="40576893" w14:textId="77777777" w:rsidR="000850DE" w:rsidRPr="00FE57FC" w:rsidRDefault="000850DE" w:rsidP="000850DE">
            <w:pPr>
              <w:spacing w:after="0" w:line="240" w:lineRule="auto"/>
              <w:jc w:val="center"/>
              <w:rPr>
                <w:rFonts w:ascii="Garamond" w:eastAsia="Times New Roman" w:hAnsi="Garamond" w:cs="Arial"/>
                <w:b/>
                <w:bCs/>
                <w:color w:val="002060"/>
                <w:lang w:eastAsia="pt-BR"/>
              </w:rPr>
            </w:pPr>
            <w:r w:rsidRPr="00FE57FC">
              <w:rPr>
                <w:rFonts w:ascii="Garamond" w:eastAsia="Times New Roman" w:hAnsi="Garamond" w:cs="Arial"/>
                <w:b/>
                <w:bCs/>
                <w:color w:val="002060"/>
                <w:lang w:eastAsia="pt-BR"/>
              </w:rPr>
              <w:t>2020</w:t>
            </w:r>
          </w:p>
        </w:tc>
        <w:tc>
          <w:tcPr>
            <w:tcW w:w="1589" w:type="pct"/>
            <w:tcBorders>
              <w:top w:val="nil"/>
              <w:left w:val="nil"/>
              <w:bottom w:val="nil"/>
              <w:right w:val="nil"/>
            </w:tcBorders>
            <w:shd w:val="clear" w:color="auto" w:fill="DBE5F1" w:themeFill="accent1" w:themeFillTint="33"/>
            <w:noWrap/>
            <w:vAlign w:val="bottom"/>
            <w:hideMark/>
          </w:tcPr>
          <w:p w14:paraId="74539FCC" w14:textId="77777777" w:rsidR="000850DE" w:rsidRPr="00FE57FC" w:rsidRDefault="000850DE" w:rsidP="000850DE">
            <w:pPr>
              <w:spacing w:after="0" w:line="240" w:lineRule="auto"/>
              <w:jc w:val="center"/>
              <w:rPr>
                <w:rFonts w:ascii="Garamond" w:eastAsia="Times New Roman" w:hAnsi="Garamond" w:cs="Arial"/>
                <w:b/>
                <w:bCs/>
                <w:color w:val="002060"/>
                <w:lang w:eastAsia="pt-BR"/>
              </w:rPr>
            </w:pPr>
            <w:r w:rsidRPr="00FE57FC">
              <w:rPr>
                <w:rFonts w:ascii="Garamond" w:eastAsia="Times New Roman" w:hAnsi="Garamond" w:cs="Arial"/>
                <w:b/>
                <w:bCs/>
                <w:color w:val="002060"/>
                <w:lang w:eastAsia="pt-BR"/>
              </w:rPr>
              <w:t>2019</w:t>
            </w:r>
          </w:p>
        </w:tc>
      </w:tr>
      <w:tr w:rsidR="00FE57FC" w:rsidRPr="00FE57FC" w14:paraId="22E83D32" w14:textId="77777777" w:rsidTr="00B22C4D">
        <w:trPr>
          <w:trHeight w:val="255"/>
        </w:trPr>
        <w:tc>
          <w:tcPr>
            <w:tcW w:w="1869" w:type="pct"/>
            <w:tcBorders>
              <w:top w:val="nil"/>
              <w:left w:val="nil"/>
              <w:bottom w:val="nil"/>
              <w:right w:val="nil"/>
            </w:tcBorders>
            <w:shd w:val="clear" w:color="auto" w:fill="auto"/>
            <w:noWrap/>
            <w:vAlign w:val="bottom"/>
            <w:hideMark/>
          </w:tcPr>
          <w:p w14:paraId="24111655" w14:textId="77777777" w:rsidR="000850DE" w:rsidRPr="00FE57FC" w:rsidRDefault="000850DE" w:rsidP="000850DE">
            <w:pPr>
              <w:spacing w:after="0" w:line="240" w:lineRule="auto"/>
              <w:jc w:val="center"/>
              <w:rPr>
                <w:rFonts w:ascii="Garamond" w:eastAsia="Times New Roman" w:hAnsi="Garamond" w:cs="Arial"/>
                <w:color w:val="002060"/>
                <w:lang w:eastAsia="pt-BR"/>
              </w:rPr>
            </w:pPr>
          </w:p>
        </w:tc>
        <w:tc>
          <w:tcPr>
            <w:tcW w:w="1542" w:type="pct"/>
            <w:tcBorders>
              <w:top w:val="nil"/>
              <w:left w:val="nil"/>
              <w:bottom w:val="nil"/>
              <w:right w:val="nil"/>
            </w:tcBorders>
            <w:shd w:val="clear" w:color="auto" w:fill="auto"/>
            <w:noWrap/>
            <w:vAlign w:val="bottom"/>
            <w:hideMark/>
          </w:tcPr>
          <w:p w14:paraId="3E928043" w14:textId="77777777" w:rsidR="000850DE" w:rsidRPr="00FE57FC" w:rsidRDefault="000850DE" w:rsidP="000850DE">
            <w:pPr>
              <w:spacing w:after="0" w:line="240" w:lineRule="auto"/>
              <w:jc w:val="center"/>
              <w:rPr>
                <w:rFonts w:ascii="Garamond" w:eastAsia="Times New Roman" w:hAnsi="Garamond" w:cs="Arial"/>
                <w:color w:val="002060"/>
                <w:lang w:eastAsia="pt-BR"/>
              </w:rPr>
            </w:pPr>
          </w:p>
        </w:tc>
        <w:tc>
          <w:tcPr>
            <w:tcW w:w="1589" w:type="pct"/>
            <w:tcBorders>
              <w:top w:val="nil"/>
              <w:left w:val="nil"/>
              <w:bottom w:val="nil"/>
              <w:right w:val="nil"/>
            </w:tcBorders>
            <w:shd w:val="clear" w:color="auto" w:fill="auto"/>
            <w:noWrap/>
            <w:vAlign w:val="bottom"/>
            <w:hideMark/>
          </w:tcPr>
          <w:p w14:paraId="154F6BD3" w14:textId="77777777" w:rsidR="000850DE" w:rsidRPr="00FE57FC" w:rsidRDefault="000850DE" w:rsidP="000850DE">
            <w:pPr>
              <w:spacing w:after="0" w:line="240" w:lineRule="auto"/>
              <w:jc w:val="center"/>
              <w:rPr>
                <w:rFonts w:ascii="Garamond" w:eastAsia="Times New Roman" w:hAnsi="Garamond" w:cs="Arial"/>
                <w:color w:val="002060"/>
                <w:lang w:eastAsia="pt-BR"/>
              </w:rPr>
            </w:pPr>
          </w:p>
        </w:tc>
      </w:tr>
      <w:tr w:rsidR="00FE57FC" w:rsidRPr="00FE57FC" w14:paraId="0370240D" w14:textId="77777777" w:rsidTr="00B22C4D">
        <w:trPr>
          <w:trHeight w:val="255"/>
        </w:trPr>
        <w:tc>
          <w:tcPr>
            <w:tcW w:w="1869" w:type="pct"/>
            <w:tcBorders>
              <w:top w:val="nil"/>
              <w:left w:val="nil"/>
              <w:bottom w:val="nil"/>
              <w:right w:val="nil"/>
            </w:tcBorders>
            <w:shd w:val="clear" w:color="auto" w:fill="auto"/>
            <w:noWrap/>
            <w:vAlign w:val="bottom"/>
            <w:hideMark/>
          </w:tcPr>
          <w:p w14:paraId="42805BD7" w14:textId="77777777" w:rsidR="000850DE" w:rsidRPr="00FE57FC" w:rsidRDefault="000850DE" w:rsidP="000850DE">
            <w:pPr>
              <w:spacing w:after="0" w:line="240" w:lineRule="auto"/>
              <w:jc w:val="center"/>
              <w:rPr>
                <w:rFonts w:ascii="Garamond" w:eastAsia="Times New Roman" w:hAnsi="Garamond" w:cs="Arial"/>
                <w:color w:val="002060"/>
                <w:lang w:eastAsia="pt-BR"/>
              </w:rPr>
            </w:pPr>
            <w:r w:rsidRPr="00FE57FC">
              <w:rPr>
                <w:rFonts w:ascii="Garamond" w:eastAsia="Times New Roman" w:hAnsi="Garamond" w:cs="Arial"/>
                <w:color w:val="002060"/>
                <w:lang w:eastAsia="pt-BR"/>
              </w:rPr>
              <w:t>Receita Operacional Líquida</w:t>
            </w:r>
          </w:p>
        </w:tc>
        <w:tc>
          <w:tcPr>
            <w:tcW w:w="1542" w:type="pct"/>
            <w:tcBorders>
              <w:top w:val="nil"/>
              <w:left w:val="nil"/>
              <w:bottom w:val="nil"/>
              <w:right w:val="nil"/>
            </w:tcBorders>
            <w:shd w:val="clear" w:color="auto" w:fill="auto"/>
            <w:noWrap/>
            <w:vAlign w:val="bottom"/>
            <w:hideMark/>
          </w:tcPr>
          <w:p w14:paraId="5150152E" w14:textId="77777777" w:rsidR="000850DE" w:rsidRPr="00FE57FC" w:rsidRDefault="000850DE" w:rsidP="000850DE">
            <w:pPr>
              <w:spacing w:after="0" w:line="240" w:lineRule="auto"/>
              <w:jc w:val="center"/>
              <w:rPr>
                <w:rFonts w:ascii="Garamond" w:eastAsia="Times New Roman" w:hAnsi="Garamond" w:cs="Arial"/>
                <w:color w:val="002060"/>
                <w:lang w:eastAsia="pt-BR"/>
              </w:rPr>
            </w:pPr>
            <w:r w:rsidRPr="00FE57FC">
              <w:rPr>
                <w:rFonts w:ascii="Garamond" w:eastAsia="Times New Roman" w:hAnsi="Garamond" w:cs="Arial"/>
                <w:color w:val="002060"/>
                <w:lang w:eastAsia="pt-BR"/>
              </w:rPr>
              <w:t>15.458.512</w:t>
            </w:r>
          </w:p>
        </w:tc>
        <w:tc>
          <w:tcPr>
            <w:tcW w:w="1589" w:type="pct"/>
            <w:tcBorders>
              <w:top w:val="nil"/>
              <w:left w:val="nil"/>
              <w:bottom w:val="nil"/>
              <w:right w:val="nil"/>
            </w:tcBorders>
            <w:shd w:val="clear" w:color="auto" w:fill="auto"/>
            <w:noWrap/>
            <w:vAlign w:val="bottom"/>
            <w:hideMark/>
          </w:tcPr>
          <w:p w14:paraId="084969E5" w14:textId="77777777" w:rsidR="000850DE" w:rsidRPr="00FE57FC" w:rsidRDefault="000850DE" w:rsidP="000850DE">
            <w:pPr>
              <w:spacing w:after="0" w:line="240" w:lineRule="auto"/>
              <w:jc w:val="center"/>
              <w:rPr>
                <w:rFonts w:ascii="Garamond" w:eastAsia="Times New Roman" w:hAnsi="Garamond" w:cs="Arial"/>
                <w:color w:val="002060"/>
                <w:lang w:eastAsia="pt-BR"/>
              </w:rPr>
            </w:pPr>
            <w:r w:rsidRPr="00FE57FC">
              <w:rPr>
                <w:rFonts w:ascii="Garamond" w:eastAsia="Times New Roman" w:hAnsi="Garamond" w:cs="Arial"/>
                <w:color w:val="002060"/>
                <w:lang w:eastAsia="pt-BR"/>
              </w:rPr>
              <w:t>21.989.460</w:t>
            </w:r>
          </w:p>
        </w:tc>
      </w:tr>
      <w:tr w:rsidR="00FE57FC" w:rsidRPr="00FE57FC" w14:paraId="316B1617" w14:textId="77777777" w:rsidTr="00B22C4D">
        <w:trPr>
          <w:trHeight w:val="255"/>
        </w:trPr>
        <w:tc>
          <w:tcPr>
            <w:tcW w:w="1869" w:type="pct"/>
            <w:tcBorders>
              <w:top w:val="nil"/>
              <w:left w:val="nil"/>
              <w:bottom w:val="nil"/>
              <w:right w:val="nil"/>
            </w:tcBorders>
            <w:shd w:val="clear" w:color="auto" w:fill="auto"/>
            <w:noWrap/>
            <w:vAlign w:val="bottom"/>
            <w:hideMark/>
          </w:tcPr>
          <w:p w14:paraId="0023C07F" w14:textId="77777777" w:rsidR="000850DE" w:rsidRPr="00FE57FC" w:rsidRDefault="000850DE" w:rsidP="000850DE">
            <w:pPr>
              <w:spacing w:after="0" w:line="240" w:lineRule="auto"/>
              <w:jc w:val="center"/>
              <w:rPr>
                <w:rFonts w:ascii="Garamond" w:eastAsia="Times New Roman" w:hAnsi="Garamond" w:cs="Arial"/>
                <w:color w:val="002060"/>
                <w:lang w:eastAsia="pt-BR"/>
              </w:rPr>
            </w:pPr>
            <w:r w:rsidRPr="00FE57FC">
              <w:rPr>
                <w:rFonts w:ascii="Garamond" w:eastAsia="Times New Roman" w:hAnsi="Garamond" w:cs="Arial"/>
                <w:color w:val="002060"/>
                <w:lang w:eastAsia="pt-BR"/>
              </w:rPr>
              <w:t>Despesa Operacional</w:t>
            </w:r>
          </w:p>
        </w:tc>
        <w:tc>
          <w:tcPr>
            <w:tcW w:w="1542" w:type="pct"/>
            <w:tcBorders>
              <w:top w:val="nil"/>
              <w:left w:val="nil"/>
              <w:bottom w:val="nil"/>
              <w:right w:val="nil"/>
            </w:tcBorders>
            <w:shd w:val="clear" w:color="auto" w:fill="auto"/>
            <w:noWrap/>
            <w:vAlign w:val="bottom"/>
            <w:hideMark/>
          </w:tcPr>
          <w:p w14:paraId="769C7D55" w14:textId="77777777" w:rsidR="000850DE" w:rsidRPr="00FE57FC" w:rsidRDefault="000850DE" w:rsidP="000850DE">
            <w:pPr>
              <w:spacing w:after="0" w:line="240" w:lineRule="auto"/>
              <w:jc w:val="center"/>
              <w:rPr>
                <w:rFonts w:ascii="Garamond" w:eastAsia="Times New Roman" w:hAnsi="Garamond" w:cs="Arial"/>
                <w:color w:val="002060"/>
                <w:lang w:eastAsia="pt-BR"/>
              </w:rPr>
            </w:pPr>
            <w:r w:rsidRPr="00FE57FC">
              <w:rPr>
                <w:rFonts w:ascii="Garamond" w:eastAsia="Times New Roman" w:hAnsi="Garamond" w:cs="Arial"/>
                <w:color w:val="002060"/>
                <w:lang w:eastAsia="pt-BR"/>
              </w:rPr>
              <w:t>15.775.282</w:t>
            </w:r>
          </w:p>
        </w:tc>
        <w:tc>
          <w:tcPr>
            <w:tcW w:w="1589" w:type="pct"/>
            <w:tcBorders>
              <w:top w:val="nil"/>
              <w:left w:val="nil"/>
              <w:bottom w:val="nil"/>
              <w:right w:val="nil"/>
            </w:tcBorders>
            <w:shd w:val="clear" w:color="auto" w:fill="auto"/>
            <w:noWrap/>
            <w:vAlign w:val="bottom"/>
            <w:hideMark/>
          </w:tcPr>
          <w:p w14:paraId="6C8124BB" w14:textId="77777777" w:rsidR="000850DE" w:rsidRPr="00FE57FC" w:rsidRDefault="000850DE" w:rsidP="000850DE">
            <w:pPr>
              <w:spacing w:after="0" w:line="240" w:lineRule="auto"/>
              <w:jc w:val="center"/>
              <w:rPr>
                <w:rFonts w:ascii="Garamond" w:eastAsia="Times New Roman" w:hAnsi="Garamond" w:cs="Arial"/>
                <w:color w:val="002060"/>
                <w:lang w:eastAsia="pt-BR"/>
              </w:rPr>
            </w:pPr>
            <w:r w:rsidRPr="00FE57FC">
              <w:rPr>
                <w:rFonts w:ascii="Garamond" w:eastAsia="Times New Roman" w:hAnsi="Garamond" w:cs="Arial"/>
                <w:color w:val="002060"/>
                <w:lang w:eastAsia="pt-BR"/>
              </w:rPr>
              <w:t>24.233.440</w:t>
            </w:r>
          </w:p>
        </w:tc>
      </w:tr>
      <w:tr w:rsidR="00FE57FC" w:rsidRPr="00FE57FC" w14:paraId="4B879C8C" w14:textId="77777777" w:rsidTr="00B22C4D">
        <w:trPr>
          <w:trHeight w:val="255"/>
        </w:trPr>
        <w:tc>
          <w:tcPr>
            <w:tcW w:w="1869" w:type="pct"/>
            <w:tcBorders>
              <w:top w:val="nil"/>
              <w:left w:val="nil"/>
              <w:bottom w:val="nil"/>
              <w:right w:val="nil"/>
            </w:tcBorders>
            <w:shd w:val="clear" w:color="auto" w:fill="auto"/>
            <w:noWrap/>
            <w:vAlign w:val="bottom"/>
            <w:hideMark/>
          </w:tcPr>
          <w:p w14:paraId="743B4971" w14:textId="77777777" w:rsidR="000850DE" w:rsidRPr="00FE57FC" w:rsidRDefault="000850DE" w:rsidP="000850DE">
            <w:pPr>
              <w:spacing w:after="0" w:line="240" w:lineRule="auto"/>
              <w:jc w:val="both"/>
              <w:rPr>
                <w:rFonts w:ascii="Garamond" w:eastAsia="Times New Roman" w:hAnsi="Garamond" w:cs="Arial"/>
                <w:color w:val="002060"/>
                <w:lang w:eastAsia="pt-BR"/>
              </w:rPr>
            </w:pPr>
          </w:p>
        </w:tc>
        <w:tc>
          <w:tcPr>
            <w:tcW w:w="1542" w:type="pct"/>
            <w:tcBorders>
              <w:top w:val="nil"/>
              <w:left w:val="nil"/>
              <w:bottom w:val="nil"/>
              <w:right w:val="nil"/>
            </w:tcBorders>
            <w:shd w:val="clear" w:color="auto" w:fill="auto"/>
            <w:noWrap/>
            <w:vAlign w:val="bottom"/>
            <w:hideMark/>
          </w:tcPr>
          <w:p w14:paraId="217D7322" w14:textId="77777777" w:rsidR="000850DE" w:rsidRPr="00FE57FC" w:rsidRDefault="000850DE" w:rsidP="000850DE">
            <w:pPr>
              <w:spacing w:after="0" w:line="240" w:lineRule="auto"/>
              <w:jc w:val="both"/>
              <w:rPr>
                <w:rFonts w:ascii="Garamond" w:eastAsia="Times New Roman" w:hAnsi="Garamond" w:cs="Arial"/>
                <w:color w:val="002060"/>
                <w:lang w:eastAsia="pt-BR"/>
              </w:rPr>
            </w:pPr>
          </w:p>
        </w:tc>
        <w:tc>
          <w:tcPr>
            <w:tcW w:w="1589" w:type="pct"/>
            <w:tcBorders>
              <w:top w:val="nil"/>
              <w:left w:val="nil"/>
              <w:bottom w:val="nil"/>
              <w:right w:val="nil"/>
            </w:tcBorders>
            <w:shd w:val="clear" w:color="auto" w:fill="auto"/>
            <w:noWrap/>
            <w:vAlign w:val="bottom"/>
            <w:hideMark/>
          </w:tcPr>
          <w:p w14:paraId="64B69539" w14:textId="77777777" w:rsidR="000850DE" w:rsidRPr="00FE57FC" w:rsidRDefault="000850DE" w:rsidP="000850DE">
            <w:pPr>
              <w:spacing w:after="0" w:line="240" w:lineRule="auto"/>
              <w:jc w:val="both"/>
              <w:rPr>
                <w:rFonts w:ascii="Garamond" w:eastAsia="Times New Roman" w:hAnsi="Garamond" w:cs="Arial"/>
                <w:color w:val="002060"/>
                <w:lang w:eastAsia="pt-BR"/>
              </w:rPr>
            </w:pPr>
          </w:p>
        </w:tc>
      </w:tr>
      <w:tr w:rsidR="00FE57FC" w:rsidRPr="00FE57FC" w14:paraId="5B15F046" w14:textId="77777777" w:rsidTr="00B22C4D">
        <w:trPr>
          <w:trHeight w:val="255"/>
        </w:trPr>
        <w:tc>
          <w:tcPr>
            <w:tcW w:w="1869" w:type="pct"/>
            <w:tcBorders>
              <w:top w:val="nil"/>
              <w:left w:val="nil"/>
              <w:bottom w:val="nil"/>
              <w:right w:val="nil"/>
            </w:tcBorders>
            <w:shd w:val="clear" w:color="auto" w:fill="auto"/>
            <w:noWrap/>
            <w:vAlign w:val="bottom"/>
            <w:hideMark/>
          </w:tcPr>
          <w:p w14:paraId="2C8D95D4" w14:textId="77777777" w:rsidR="000850DE" w:rsidRPr="00FE57FC" w:rsidRDefault="000850DE" w:rsidP="000850DE">
            <w:pPr>
              <w:spacing w:after="0" w:line="240" w:lineRule="auto"/>
              <w:jc w:val="center"/>
              <w:rPr>
                <w:rFonts w:ascii="Garamond" w:eastAsia="Times New Roman" w:hAnsi="Garamond" w:cs="Arial"/>
                <w:b/>
                <w:bCs/>
                <w:color w:val="002060"/>
                <w:lang w:eastAsia="pt-BR"/>
              </w:rPr>
            </w:pPr>
            <w:r w:rsidRPr="00FE57FC">
              <w:rPr>
                <w:rFonts w:ascii="Garamond" w:eastAsia="Times New Roman" w:hAnsi="Garamond" w:cs="Arial"/>
                <w:b/>
                <w:bCs/>
                <w:color w:val="002060"/>
                <w:lang w:eastAsia="pt-BR"/>
              </w:rPr>
              <w:t>INDICADOR REALIZADO</w:t>
            </w:r>
          </w:p>
        </w:tc>
        <w:tc>
          <w:tcPr>
            <w:tcW w:w="1542" w:type="pct"/>
            <w:tcBorders>
              <w:top w:val="nil"/>
              <w:left w:val="nil"/>
              <w:bottom w:val="nil"/>
              <w:right w:val="nil"/>
            </w:tcBorders>
            <w:shd w:val="clear" w:color="auto" w:fill="auto"/>
            <w:noWrap/>
            <w:vAlign w:val="bottom"/>
            <w:hideMark/>
          </w:tcPr>
          <w:p w14:paraId="4EB9C03B" w14:textId="77777777" w:rsidR="000850DE" w:rsidRPr="00FE57FC" w:rsidRDefault="000850DE" w:rsidP="000850DE">
            <w:pPr>
              <w:spacing w:after="0" w:line="240" w:lineRule="auto"/>
              <w:jc w:val="center"/>
              <w:rPr>
                <w:rFonts w:ascii="Garamond" w:eastAsia="Times New Roman" w:hAnsi="Garamond" w:cs="Arial"/>
                <w:b/>
                <w:bCs/>
                <w:color w:val="002060"/>
                <w:lang w:eastAsia="pt-BR"/>
              </w:rPr>
            </w:pPr>
            <w:r w:rsidRPr="00FE57FC">
              <w:rPr>
                <w:rFonts w:ascii="Garamond" w:eastAsia="Times New Roman" w:hAnsi="Garamond" w:cs="Arial"/>
                <w:b/>
                <w:bCs/>
                <w:color w:val="002060"/>
                <w:lang w:eastAsia="pt-BR"/>
              </w:rPr>
              <w:t>1,02</w:t>
            </w:r>
          </w:p>
        </w:tc>
        <w:tc>
          <w:tcPr>
            <w:tcW w:w="1589" w:type="pct"/>
            <w:tcBorders>
              <w:top w:val="nil"/>
              <w:left w:val="nil"/>
              <w:bottom w:val="nil"/>
              <w:right w:val="nil"/>
            </w:tcBorders>
            <w:shd w:val="clear" w:color="auto" w:fill="auto"/>
            <w:noWrap/>
            <w:vAlign w:val="bottom"/>
            <w:hideMark/>
          </w:tcPr>
          <w:p w14:paraId="47106595" w14:textId="77777777" w:rsidR="000850DE" w:rsidRPr="00FE57FC" w:rsidRDefault="000850DE" w:rsidP="000850DE">
            <w:pPr>
              <w:spacing w:after="0" w:line="240" w:lineRule="auto"/>
              <w:jc w:val="center"/>
              <w:rPr>
                <w:rFonts w:ascii="Garamond" w:eastAsia="Times New Roman" w:hAnsi="Garamond" w:cs="Arial"/>
                <w:b/>
                <w:bCs/>
                <w:color w:val="002060"/>
                <w:lang w:eastAsia="pt-BR"/>
              </w:rPr>
            </w:pPr>
            <w:r w:rsidRPr="00FE57FC">
              <w:rPr>
                <w:rFonts w:ascii="Garamond" w:eastAsia="Times New Roman" w:hAnsi="Garamond" w:cs="Arial"/>
                <w:b/>
                <w:bCs/>
                <w:color w:val="002060"/>
                <w:lang w:eastAsia="pt-BR"/>
              </w:rPr>
              <w:t>1,10</w:t>
            </w:r>
          </w:p>
        </w:tc>
      </w:tr>
    </w:tbl>
    <w:p w14:paraId="73AFA3E3" w14:textId="77777777" w:rsidR="000850DE" w:rsidRPr="00FE57FC" w:rsidRDefault="000850DE" w:rsidP="000850DE">
      <w:pPr>
        <w:jc w:val="both"/>
        <w:rPr>
          <w:rFonts w:ascii="Garamond" w:hAnsi="Garamond" w:cs="Arial"/>
          <w:iCs/>
          <w:color w:val="002060"/>
          <w:sz w:val="20"/>
          <w:szCs w:val="20"/>
        </w:rPr>
      </w:pPr>
      <w:r w:rsidRPr="00FE57FC">
        <w:rPr>
          <w:rFonts w:ascii="Garamond" w:hAnsi="Garamond" w:cs="Arial"/>
          <w:iCs/>
          <w:color w:val="002060"/>
          <w:sz w:val="20"/>
          <w:szCs w:val="20"/>
        </w:rPr>
        <w:t>Observação: As receitas operacionais estão líquidas das deduções (impostos sobre o faturamento) e não consideram as receitas financeiras. As despesas operacionais excluem os tributos sobre o Lucro e as despesas financeiras.</w:t>
      </w:r>
    </w:p>
    <w:p w14:paraId="342F4256" w14:textId="77777777" w:rsidR="000850DE" w:rsidRPr="00FE57FC" w:rsidRDefault="000850DE" w:rsidP="000850DE">
      <w:pPr>
        <w:jc w:val="both"/>
        <w:rPr>
          <w:rFonts w:ascii="Garamond" w:eastAsia="Times New Roman" w:hAnsi="Garamond" w:cs="Arial"/>
          <w:color w:val="002060"/>
          <w:sz w:val="24"/>
          <w:szCs w:val="24"/>
          <w:lang w:eastAsia="pt-BR"/>
        </w:rPr>
      </w:pPr>
      <w:r w:rsidRPr="00FE57FC">
        <w:rPr>
          <w:rFonts w:ascii="Garamond" w:eastAsia="Times New Roman" w:hAnsi="Garamond" w:cs="Arial"/>
          <w:color w:val="002060"/>
          <w:sz w:val="24"/>
          <w:szCs w:val="24"/>
          <w:lang w:eastAsia="pt-BR"/>
        </w:rPr>
        <w:lastRenderedPageBreak/>
        <w:t xml:space="preserve">Desde o último trimestre de 2019, a ABGF vem realizando um grande esforço no sentido de reduzir suas despesas com pessoal e contratos a fim de adequar-se </w:t>
      </w:r>
      <w:r w:rsidR="009A3BAD" w:rsidRPr="00FE57FC">
        <w:rPr>
          <w:rFonts w:ascii="Garamond" w:eastAsia="Times New Roman" w:hAnsi="Garamond" w:cs="Arial"/>
          <w:color w:val="002060"/>
          <w:sz w:val="24"/>
          <w:szCs w:val="24"/>
          <w:lang w:eastAsia="pt-BR"/>
        </w:rPr>
        <w:t>à</w:t>
      </w:r>
      <w:r w:rsidRPr="00FE57FC">
        <w:rPr>
          <w:rFonts w:ascii="Garamond" w:eastAsia="Times New Roman" w:hAnsi="Garamond" w:cs="Arial"/>
          <w:color w:val="002060"/>
          <w:sz w:val="24"/>
          <w:szCs w:val="24"/>
          <w:lang w:eastAsia="pt-BR"/>
        </w:rPr>
        <w:t xml:space="preserve"> realidade de redução de receitas, provenientes principalmente, da redução do escopo dos serviços prestados à SE-CAMEX/ME. Dessa forma, em 2020, alcançou uma redução de 34,5% nas despesas operacionais, gerando melhoria do indicador de Eficiência Operacional.</w:t>
      </w:r>
    </w:p>
    <w:p w14:paraId="1410B549" w14:textId="77777777" w:rsidR="009A3BAD" w:rsidRPr="00FE57FC" w:rsidRDefault="009A3BAD" w:rsidP="000850DE">
      <w:pPr>
        <w:jc w:val="both"/>
        <w:rPr>
          <w:rFonts w:ascii="Garamond" w:eastAsia="Times New Roman" w:hAnsi="Garamond" w:cs="Arial"/>
          <w:color w:val="002060"/>
          <w:sz w:val="24"/>
          <w:szCs w:val="24"/>
          <w:lang w:eastAsia="pt-BR"/>
        </w:rPr>
      </w:pPr>
    </w:p>
    <w:p w14:paraId="60077567" w14:textId="77777777" w:rsidR="00D703FE" w:rsidRPr="00FE57FC" w:rsidRDefault="004425AF" w:rsidP="003048E2">
      <w:pPr>
        <w:spacing w:before="120" w:after="120" w:line="240" w:lineRule="auto"/>
        <w:jc w:val="both"/>
        <w:rPr>
          <w:rFonts w:ascii="Garamond" w:hAnsi="Garamond" w:cs="Arial"/>
          <w:b/>
          <w:color w:val="002060"/>
          <w:sz w:val="24"/>
          <w:szCs w:val="24"/>
        </w:rPr>
      </w:pPr>
      <w:r w:rsidRPr="00FE57FC">
        <w:rPr>
          <w:rFonts w:ascii="Garamond" w:hAnsi="Garamond" w:cs="Arial"/>
          <w:b/>
          <w:color w:val="002060"/>
          <w:sz w:val="24"/>
          <w:szCs w:val="24"/>
        </w:rPr>
        <w:t>5. Comentários dos Administradores</w:t>
      </w:r>
    </w:p>
    <w:p w14:paraId="192FDFFD" w14:textId="34D49D23" w:rsidR="000850DE" w:rsidRPr="00FE57FC" w:rsidRDefault="000850DE" w:rsidP="000850DE">
      <w:pPr>
        <w:jc w:val="both"/>
        <w:rPr>
          <w:rFonts w:ascii="Garamond" w:eastAsia="Times New Roman" w:hAnsi="Garamond" w:cs="Arial"/>
          <w:color w:val="002060"/>
          <w:sz w:val="24"/>
          <w:szCs w:val="24"/>
          <w:lang w:eastAsia="pt-BR"/>
        </w:rPr>
      </w:pPr>
      <w:r w:rsidRPr="00FE57FC">
        <w:rPr>
          <w:rFonts w:ascii="Garamond" w:eastAsia="Times New Roman" w:hAnsi="Garamond" w:cs="Arial"/>
          <w:color w:val="002060"/>
          <w:sz w:val="24"/>
          <w:szCs w:val="24"/>
          <w:lang w:eastAsia="pt-BR"/>
        </w:rPr>
        <w:t xml:space="preserve">A </w:t>
      </w:r>
      <w:r w:rsidR="00D005C6">
        <w:rPr>
          <w:rFonts w:ascii="Garamond" w:eastAsia="Times New Roman" w:hAnsi="Garamond" w:cs="Arial"/>
          <w:color w:val="002060"/>
          <w:sz w:val="24"/>
          <w:szCs w:val="24"/>
          <w:lang w:eastAsia="pt-BR"/>
        </w:rPr>
        <w:t>qualificação</w:t>
      </w:r>
      <w:r w:rsidR="001E1A4E" w:rsidRPr="00FE57FC">
        <w:rPr>
          <w:rFonts w:ascii="Garamond" w:eastAsia="Times New Roman" w:hAnsi="Garamond" w:cs="Arial"/>
          <w:color w:val="002060"/>
          <w:sz w:val="24"/>
          <w:szCs w:val="24"/>
          <w:lang w:eastAsia="pt-BR"/>
        </w:rPr>
        <w:t xml:space="preserve"> da ABGF </w:t>
      </w:r>
      <w:r w:rsidR="00B22C4D" w:rsidRPr="00FE57FC">
        <w:rPr>
          <w:rFonts w:ascii="Garamond" w:eastAsia="Times New Roman" w:hAnsi="Garamond" w:cs="Arial"/>
          <w:color w:val="002060"/>
          <w:sz w:val="24"/>
          <w:szCs w:val="24"/>
          <w:lang w:eastAsia="pt-BR"/>
        </w:rPr>
        <w:t xml:space="preserve">no </w:t>
      </w:r>
      <w:r w:rsidR="001E1A4E" w:rsidRPr="00FE57FC">
        <w:rPr>
          <w:rFonts w:ascii="Garamond" w:eastAsia="Times New Roman" w:hAnsi="Garamond" w:cs="Arial"/>
          <w:color w:val="002060"/>
          <w:sz w:val="24"/>
          <w:szCs w:val="24"/>
          <w:lang w:eastAsia="pt-BR"/>
        </w:rPr>
        <w:t>P</w:t>
      </w:r>
      <w:r w:rsidR="00B22C4D" w:rsidRPr="00FE57FC">
        <w:rPr>
          <w:rFonts w:ascii="Garamond" w:eastAsia="Times New Roman" w:hAnsi="Garamond" w:cs="Arial"/>
          <w:color w:val="002060"/>
          <w:sz w:val="24"/>
          <w:szCs w:val="24"/>
          <w:lang w:eastAsia="pt-BR"/>
        </w:rPr>
        <w:t xml:space="preserve">rograma </w:t>
      </w:r>
      <w:r w:rsidR="001E1A4E" w:rsidRPr="00FE57FC">
        <w:rPr>
          <w:rFonts w:ascii="Garamond" w:eastAsia="Times New Roman" w:hAnsi="Garamond" w:cs="Arial"/>
          <w:color w:val="002060"/>
          <w:sz w:val="24"/>
          <w:szCs w:val="24"/>
          <w:lang w:eastAsia="pt-BR"/>
        </w:rPr>
        <w:t xml:space="preserve">Nacional de Desestatização não alterou o </w:t>
      </w:r>
      <w:r w:rsidRPr="00FE57FC">
        <w:rPr>
          <w:rFonts w:ascii="Garamond" w:eastAsia="Times New Roman" w:hAnsi="Garamond" w:cs="Arial"/>
          <w:color w:val="002060"/>
          <w:sz w:val="24"/>
          <w:szCs w:val="24"/>
          <w:lang w:eastAsia="pt-BR"/>
        </w:rPr>
        <w:t>compromisso d</w:t>
      </w:r>
      <w:r w:rsidR="001E1A4E" w:rsidRPr="00FE57FC">
        <w:rPr>
          <w:rFonts w:ascii="Garamond" w:eastAsia="Times New Roman" w:hAnsi="Garamond" w:cs="Arial"/>
          <w:color w:val="002060"/>
          <w:sz w:val="24"/>
          <w:szCs w:val="24"/>
          <w:lang w:eastAsia="pt-BR"/>
        </w:rPr>
        <w:t>a Empresa em</w:t>
      </w:r>
      <w:r w:rsidRPr="00FE57FC">
        <w:rPr>
          <w:rFonts w:ascii="Garamond" w:eastAsia="Times New Roman" w:hAnsi="Garamond" w:cs="Arial"/>
          <w:color w:val="002060"/>
          <w:sz w:val="24"/>
          <w:szCs w:val="24"/>
          <w:lang w:eastAsia="pt-BR"/>
        </w:rPr>
        <w:t xml:space="preserve"> manter a sua sustentabilidade econômico-financeira, de forma a </w:t>
      </w:r>
      <w:r w:rsidR="00B22C4D" w:rsidRPr="00FE57FC">
        <w:rPr>
          <w:rFonts w:ascii="Garamond" w:eastAsia="Times New Roman" w:hAnsi="Garamond" w:cs="Arial"/>
          <w:color w:val="002060"/>
          <w:sz w:val="24"/>
          <w:szCs w:val="24"/>
          <w:lang w:eastAsia="pt-BR"/>
        </w:rPr>
        <w:t xml:space="preserve">contribuir para a </w:t>
      </w:r>
      <w:r w:rsidRPr="00FE57FC">
        <w:rPr>
          <w:rFonts w:ascii="Garamond" w:eastAsia="Times New Roman" w:hAnsi="Garamond" w:cs="Arial"/>
          <w:color w:val="002060"/>
          <w:sz w:val="24"/>
          <w:szCs w:val="24"/>
          <w:lang w:eastAsia="pt-BR"/>
        </w:rPr>
        <w:t>execu</w:t>
      </w:r>
      <w:r w:rsidR="00B22C4D" w:rsidRPr="00FE57FC">
        <w:rPr>
          <w:rFonts w:ascii="Garamond" w:eastAsia="Times New Roman" w:hAnsi="Garamond" w:cs="Arial"/>
          <w:color w:val="002060"/>
          <w:sz w:val="24"/>
          <w:szCs w:val="24"/>
          <w:lang w:eastAsia="pt-BR"/>
        </w:rPr>
        <w:t xml:space="preserve">ção e </w:t>
      </w:r>
      <w:r w:rsidRPr="00FE57FC">
        <w:rPr>
          <w:rFonts w:ascii="Garamond" w:eastAsia="Times New Roman" w:hAnsi="Garamond" w:cs="Arial"/>
          <w:color w:val="002060"/>
          <w:sz w:val="24"/>
          <w:szCs w:val="24"/>
          <w:lang w:eastAsia="pt-BR"/>
        </w:rPr>
        <w:t>política</w:t>
      </w:r>
      <w:r w:rsidR="00B22C4D" w:rsidRPr="00FE57FC">
        <w:rPr>
          <w:rFonts w:ascii="Garamond" w:eastAsia="Times New Roman" w:hAnsi="Garamond" w:cs="Arial"/>
          <w:color w:val="002060"/>
          <w:sz w:val="24"/>
          <w:szCs w:val="24"/>
          <w:lang w:eastAsia="pt-BR"/>
        </w:rPr>
        <w:t>s</w:t>
      </w:r>
      <w:r w:rsidRPr="00FE57FC">
        <w:rPr>
          <w:rFonts w:ascii="Garamond" w:eastAsia="Times New Roman" w:hAnsi="Garamond" w:cs="Arial"/>
          <w:color w:val="002060"/>
          <w:sz w:val="24"/>
          <w:szCs w:val="24"/>
          <w:lang w:eastAsia="pt-BR"/>
        </w:rPr>
        <w:t xml:space="preserve"> pública</w:t>
      </w:r>
      <w:r w:rsidR="00B22C4D" w:rsidRPr="00FE57FC">
        <w:rPr>
          <w:rFonts w:ascii="Garamond" w:eastAsia="Times New Roman" w:hAnsi="Garamond" w:cs="Arial"/>
          <w:color w:val="002060"/>
          <w:sz w:val="24"/>
          <w:szCs w:val="24"/>
          <w:lang w:eastAsia="pt-BR"/>
        </w:rPr>
        <w:t>s</w:t>
      </w:r>
      <w:r w:rsidRPr="00FE57FC">
        <w:rPr>
          <w:rFonts w:ascii="Garamond" w:eastAsia="Times New Roman" w:hAnsi="Garamond" w:cs="Arial"/>
          <w:color w:val="002060"/>
          <w:sz w:val="24"/>
          <w:szCs w:val="24"/>
          <w:lang w:eastAsia="pt-BR"/>
        </w:rPr>
        <w:t xml:space="preserve">, com foco na governança e a integridade, pilares fundamentais para alcance dos objetivos estratégicos da Empresa na geração de valor público à sociedade. Para tanto, atua com transparência e estratégia, buscando o alinhamento e integração com os órgãos do governo brasileiro que desenvolvem políticas públicas em nossa área de atuação. </w:t>
      </w:r>
    </w:p>
    <w:p w14:paraId="5CB0B224" w14:textId="28D2E4E0" w:rsidR="000850DE" w:rsidRPr="00FE57FC" w:rsidRDefault="000850DE" w:rsidP="000850DE">
      <w:pPr>
        <w:jc w:val="both"/>
        <w:rPr>
          <w:rFonts w:ascii="Garamond" w:eastAsia="Times New Roman" w:hAnsi="Garamond" w:cs="Arial"/>
          <w:color w:val="002060"/>
          <w:sz w:val="24"/>
          <w:szCs w:val="24"/>
          <w:lang w:eastAsia="pt-BR"/>
        </w:rPr>
      </w:pPr>
      <w:r w:rsidRPr="00FE57FC">
        <w:rPr>
          <w:rFonts w:ascii="Garamond" w:eastAsia="Times New Roman" w:hAnsi="Garamond" w:cs="Arial"/>
          <w:color w:val="002060"/>
          <w:sz w:val="24"/>
          <w:szCs w:val="24"/>
          <w:lang w:eastAsia="pt-BR"/>
        </w:rPr>
        <w:t xml:space="preserve">A Alta Administração da ABGF está alinhada com as </w:t>
      </w:r>
      <w:r w:rsidR="00B22C4D" w:rsidRPr="00FE57FC">
        <w:rPr>
          <w:rFonts w:ascii="Garamond" w:eastAsia="Times New Roman" w:hAnsi="Garamond" w:cs="Arial"/>
          <w:color w:val="002060"/>
          <w:sz w:val="24"/>
          <w:szCs w:val="24"/>
          <w:lang w:eastAsia="pt-BR"/>
        </w:rPr>
        <w:t xml:space="preserve">diretrizes </w:t>
      </w:r>
      <w:r w:rsidRPr="00FE57FC">
        <w:rPr>
          <w:rFonts w:ascii="Garamond" w:eastAsia="Times New Roman" w:hAnsi="Garamond" w:cs="Arial"/>
          <w:color w:val="002060"/>
          <w:sz w:val="24"/>
          <w:szCs w:val="24"/>
          <w:lang w:eastAsia="pt-BR"/>
        </w:rPr>
        <w:t xml:space="preserve">fixadas pelo Ministério </w:t>
      </w:r>
      <w:r w:rsidR="001E1A4E" w:rsidRPr="00FE57FC">
        <w:rPr>
          <w:rFonts w:ascii="Garamond" w:eastAsia="Times New Roman" w:hAnsi="Garamond" w:cs="Arial"/>
          <w:color w:val="002060"/>
          <w:sz w:val="24"/>
          <w:szCs w:val="24"/>
          <w:lang w:eastAsia="pt-BR"/>
        </w:rPr>
        <w:t>da Economia</w:t>
      </w:r>
      <w:r w:rsidRPr="00FE57FC">
        <w:rPr>
          <w:rFonts w:ascii="Garamond" w:eastAsia="Times New Roman" w:hAnsi="Garamond" w:cs="Arial"/>
          <w:color w:val="002060"/>
          <w:sz w:val="24"/>
          <w:szCs w:val="24"/>
          <w:lang w:eastAsia="pt-BR"/>
        </w:rPr>
        <w:t xml:space="preserve"> e imbuída em cumprir as orientações do Governo Federal com o objetivo de atender as demandas para concretização do processo de desestatização </w:t>
      </w:r>
      <w:r w:rsidRPr="00AA41C3">
        <w:rPr>
          <w:rFonts w:ascii="Garamond" w:eastAsia="Times New Roman" w:hAnsi="Garamond" w:cs="Arial"/>
          <w:color w:val="002060"/>
          <w:sz w:val="24"/>
          <w:szCs w:val="24"/>
          <w:lang w:eastAsia="pt-BR"/>
        </w:rPr>
        <w:t xml:space="preserve">nos prazos </w:t>
      </w:r>
      <w:r w:rsidR="00D005C6" w:rsidRPr="00AA41C3">
        <w:rPr>
          <w:rFonts w:ascii="Garamond" w:eastAsia="Times New Roman" w:hAnsi="Garamond" w:cs="Arial"/>
          <w:color w:val="002060"/>
          <w:sz w:val="24"/>
          <w:szCs w:val="24"/>
          <w:lang w:eastAsia="pt-BR"/>
        </w:rPr>
        <w:t xml:space="preserve">a serem </w:t>
      </w:r>
      <w:r w:rsidRPr="00AA41C3">
        <w:rPr>
          <w:rFonts w:ascii="Garamond" w:eastAsia="Times New Roman" w:hAnsi="Garamond" w:cs="Arial"/>
          <w:color w:val="002060"/>
          <w:sz w:val="24"/>
          <w:szCs w:val="24"/>
          <w:lang w:eastAsia="pt-BR"/>
        </w:rPr>
        <w:t>definidos.</w:t>
      </w:r>
    </w:p>
    <w:p w14:paraId="01AF08FE" w14:textId="77777777" w:rsidR="00422954" w:rsidRPr="00FE57FC" w:rsidRDefault="00470491" w:rsidP="00422954">
      <w:pPr>
        <w:tabs>
          <w:tab w:val="left" w:pos="1902"/>
        </w:tabs>
        <w:jc w:val="both"/>
        <w:rPr>
          <w:rFonts w:ascii="Garamond" w:eastAsia="Times New Roman" w:hAnsi="Garamond" w:cs="Arial"/>
          <w:color w:val="002060"/>
          <w:sz w:val="24"/>
          <w:szCs w:val="24"/>
          <w:lang w:eastAsia="pt-BR"/>
        </w:rPr>
      </w:pPr>
      <w:r w:rsidRPr="00FE57FC">
        <w:rPr>
          <w:rFonts w:ascii="Garamond" w:eastAsia="Times New Roman" w:hAnsi="Garamond" w:cs="Arial"/>
          <w:color w:val="002060"/>
          <w:sz w:val="24"/>
          <w:szCs w:val="24"/>
          <w:lang w:eastAsia="pt-BR"/>
        </w:rPr>
        <w:t>Em dezembro</w:t>
      </w:r>
      <w:r w:rsidR="00B22C4D" w:rsidRPr="00FE57FC">
        <w:rPr>
          <w:rFonts w:ascii="Garamond" w:eastAsia="Times New Roman" w:hAnsi="Garamond" w:cs="Arial"/>
          <w:color w:val="002060"/>
          <w:sz w:val="24"/>
          <w:szCs w:val="24"/>
          <w:lang w:eastAsia="pt-BR"/>
        </w:rPr>
        <w:t xml:space="preserve"> de 2020,</w:t>
      </w:r>
      <w:r w:rsidRPr="00FE57FC">
        <w:rPr>
          <w:rFonts w:ascii="Garamond" w:eastAsia="Times New Roman" w:hAnsi="Garamond" w:cs="Arial"/>
          <w:color w:val="002060"/>
          <w:sz w:val="24"/>
          <w:szCs w:val="24"/>
          <w:lang w:eastAsia="pt-BR"/>
        </w:rPr>
        <w:t xml:space="preserve"> </w:t>
      </w:r>
      <w:r w:rsidR="00422954" w:rsidRPr="00FE57FC">
        <w:rPr>
          <w:rFonts w:ascii="Garamond" w:eastAsia="Times New Roman" w:hAnsi="Garamond" w:cs="Arial"/>
          <w:color w:val="002060"/>
          <w:sz w:val="24"/>
          <w:szCs w:val="24"/>
          <w:lang w:eastAsia="pt-BR"/>
        </w:rPr>
        <w:t>foi realizada</w:t>
      </w:r>
      <w:r w:rsidRPr="00FE57FC">
        <w:rPr>
          <w:rFonts w:ascii="Garamond" w:eastAsia="Times New Roman" w:hAnsi="Garamond" w:cs="Arial"/>
          <w:color w:val="002060"/>
          <w:sz w:val="24"/>
          <w:szCs w:val="24"/>
          <w:lang w:eastAsia="pt-BR"/>
        </w:rPr>
        <w:t xml:space="preserve"> a revisão do Planejamento Estratégico ciclo 202</w:t>
      </w:r>
      <w:r w:rsidR="000850DE" w:rsidRPr="00FE57FC">
        <w:rPr>
          <w:rFonts w:ascii="Garamond" w:eastAsia="Times New Roman" w:hAnsi="Garamond" w:cs="Arial"/>
          <w:color w:val="002060"/>
          <w:sz w:val="24"/>
          <w:szCs w:val="24"/>
          <w:lang w:eastAsia="pt-BR"/>
        </w:rPr>
        <w:t>1</w:t>
      </w:r>
      <w:r w:rsidRPr="00FE57FC">
        <w:rPr>
          <w:rFonts w:ascii="Garamond" w:eastAsia="Times New Roman" w:hAnsi="Garamond" w:cs="Arial"/>
          <w:color w:val="002060"/>
          <w:sz w:val="24"/>
          <w:szCs w:val="24"/>
          <w:lang w:eastAsia="pt-BR"/>
        </w:rPr>
        <w:t>-202</w:t>
      </w:r>
      <w:r w:rsidR="000850DE" w:rsidRPr="00FE57FC">
        <w:rPr>
          <w:rFonts w:ascii="Garamond" w:eastAsia="Times New Roman" w:hAnsi="Garamond" w:cs="Arial"/>
          <w:color w:val="002060"/>
          <w:sz w:val="24"/>
          <w:szCs w:val="24"/>
          <w:lang w:eastAsia="pt-BR"/>
        </w:rPr>
        <w:t>5</w:t>
      </w:r>
      <w:r w:rsidRPr="00FE57FC">
        <w:rPr>
          <w:rFonts w:ascii="Garamond" w:eastAsia="Times New Roman" w:hAnsi="Garamond" w:cs="Arial"/>
          <w:color w:val="002060"/>
          <w:sz w:val="24"/>
          <w:szCs w:val="24"/>
          <w:lang w:eastAsia="pt-BR"/>
        </w:rPr>
        <w:t xml:space="preserve"> </w:t>
      </w:r>
      <w:r w:rsidR="00422954" w:rsidRPr="00FE57FC">
        <w:rPr>
          <w:rFonts w:ascii="Garamond" w:eastAsia="Times New Roman" w:hAnsi="Garamond" w:cs="Arial"/>
          <w:color w:val="002060"/>
          <w:sz w:val="24"/>
          <w:szCs w:val="24"/>
          <w:lang w:eastAsia="pt-BR"/>
        </w:rPr>
        <w:t>de melhor caracterizar o</w:t>
      </w:r>
      <w:r w:rsidR="001E1A4E" w:rsidRPr="00FE57FC">
        <w:rPr>
          <w:rFonts w:ascii="Garamond" w:eastAsia="Times New Roman" w:hAnsi="Garamond" w:cs="Arial"/>
          <w:color w:val="002060"/>
          <w:sz w:val="24"/>
          <w:szCs w:val="24"/>
          <w:lang w:eastAsia="pt-BR"/>
        </w:rPr>
        <w:t xml:space="preserve"> seu</w:t>
      </w:r>
      <w:r w:rsidR="00422954" w:rsidRPr="00FE57FC">
        <w:rPr>
          <w:rFonts w:ascii="Garamond" w:eastAsia="Times New Roman" w:hAnsi="Garamond" w:cs="Arial"/>
          <w:color w:val="002060"/>
          <w:sz w:val="24"/>
          <w:szCs w:val="24"/>
          <w:lang w:eastAsia="pt-BR"/>
        </w:rPr>
        <w:t xml:space="preserve"> propósito e orientação de atuação, devendo retratar o papel social da ABGF na condução de suas linhas de negócios, bem como a </w:t>
      </w:r>
      <w:r w:rsidR="00B22C4D" w:rsidRPr="00FE57FC">
        <w:rPr>
          <w:rFonts w:ascii="Garamond" w:eastAsia="Times New Roman" w:hAnsi="Garamond" w:cs="Arial"/>
          <w:color w:val="002060"/>
          <w:sz w:val="24"/>
          <w:szCs w:val="24"/>
          <w:lang w:eastAsia="pt-BR"/>
        </w:rPr>
        <w:t xml:space="preserve">sua </w:t>
      </w:r>
      <w:r w:rsidR="00422954" w:rsidRPr="00FE57FC">
        <w:rPr>
          <w:rFonts w:ascii="Garamond" w:eastAsia="Times New Roman" w:hAnsi="Garamond" w:cs="Arial"/>
          <w:color w:val="002060"/>
          <w:sz w:val="24"/>
          <w:szCs w:val="24"/>
          <w:lang w:eastAsia="pt-BR"/>
        </w:rPr>
        <w:t>contribuição para execução das políticas públicas a elas associadas.</w:t>
      </w:r>
    </w:p>
    <w:p w14:paraId="32F899B1" w14:textId="77777777" w:rsidR="00422954" w:rsidRPr="00FE57FC" w:rsidRDefault="00422954" w:rsidP="00422954">
      <w:pPr>
        <w:tabs>
          <w:tab w:val="left" w:pos="1902"/>
        </w:tabs>
        <w:jc w:val="both"/>
        <w:rPr>
          <w:rFonts w:ascii="Garamond" w:eastAsia="Times New Roman" w:hAnsi="Garamond" w:cs="Arial"/>
          <w:color w:val="002060"/>
          <w:sz w:val="24"/>
          <w:szCs w:val="24"/>
          <w:lang w:eastAsia="pt-BR"/>
        </w:rPr>
      </w:pPr>
      <w:r w:rsidRPr="00FE57FC">
        <w:rPr>
          <w:rFonts w:ascii="Garamond" w:eastAsia="Times New Roman" w:hAnsi="Garamond" w:cs="Arial"/>
          <w:color w:val="002060"/>
          <w:sz w:val="24"/>
          <w:szCs w:val="24"/>
          <w:lang w:eastAsia="pt-BR"/>
        </w:rPr>
        <w:t>As diretrizes estratégicas também foram ajustadas para direcionar e explicitar os rumos para atuação da ABGF como empresa pública que exerce seu papel com eficiência e efetividade, sendo definidas por:</w:t>
      </w:r>
    </w:p>
    <w:p w14:paraId="062CF598" w14:textId="5F9AE8D9" w:rsidR="00422954" w:rsidRPr="00FE57FC" w:rsidRDefault="00422954" w:rsidP="00422954">
      <w:pPr>
        <w:pStyle w:val="PargrafodaLista"/>
        <w:numPr>
          <w:ilvl w:val="0"/>
          <w:numId w:val="7"/>
        </w:numPr>
        <w:tabs>
          <w:tab w:val="left" w:pos="1902"/>
        </w:tabs>
        <w:jc w:val="both"/>
        <w:rPr>
          <w:rFonts w:ascii="Garamond" w:eastAsia="Times New Roman" w:hAnsi="Garamond" w:cs="Arial"/>
          <w:color w:val="002060"/>
          <w:sz w:val="24"/>
          <w:szCs w:val="24"/>
          <w:lang w:eastAsia="pt-BR"/>
        </w:rPr>
      </w:pPr>
      <w:r w:rsidRPr="00FE57FC">
        <w:rPr>
          <w:rFonts w:ascii="Garamond" w:eastAsia="Times New Roman" w:hAnsi="Garamond" w:cs="Arial"/>
          <w:color w:val="002060"/>
          <w:sz w:val="24"/>
          <w:szCs w:val="24"/>
          <w:lang w:eastAsia="pt-BR"/>
        </w:rPr>
        <w:t xml:space="preserve">Assegurar a sustentabilidade </w:t>
      </w:r>
      <w:r w:rsidR="006E03C0" w:rsidRPr="00FE57FC">
        <w:rPr>
          <w:rFonts w:ascii="Garamond" w:eastAsia="Times New Roman" w:hAnsi="Garamond" w:cs="Arial"/>
          <w:color w:val="002060"/>
          <w:sz w:val="24"/>
          <w:szCs w:val="24"/>
          <w:lang w:eastAsia="pt-BR"/>
        </w:rPr>
        <w:t>econômico</w:t>
      </w:r>
      <w:r w:rsidR="006E03C0">
        <w:rPr>
          <w:rFonts w:ascii="Garamond" w:eastAsia="Times New Roman" w:hAnsi="Garamond" w:cs="Arial"/>
          <w:color w:val="002060"/>
          <w:sz w:val="24"/>
          <w:szCs w:val="24"/>
          <w:lang w:eastAsia="pt-BR"/>
        </w:rPr>
        <w:t>-</w:t>
      </w:r>
      <w:r w:rsidR="006E03C0" w:rsidRPr="00FE57FC">
        <w:rPr>
          <w:rFonts w:ascii="Garamond" w:eastAsia="Times New Roman" w:hAnsi="Garamond" w:cs="Arial"/>
          <w:color w:val="002060"/>
          <w:sz w:val="24"/>
          <w:szCs w:val="24"/>
          <w:lang w:eastAsia="pt-BR"/>
        </w:rPr>
        <w:t>financeira</w:t>
      </w:r>
      <w:r w:rsidRPr="00FE57FC">
        <w:rPr>
          <w:rFonts w:ascii="Garamond" w:eastAsia="Times New Roman" w:hAnsi="Garamond" w:cs="Arial"/>
          <w:color w:val="002060"/>
          <w:sz w:val="24"/>
          <w:szCs w:val="24"/>
          <w:lang w:eastAsia="pt-BR"/>
        </w:rPr>
        <w:t>;</w:t>
      </w:r>
    </w:p>
    <w:p w14:paraId="05D68DFB" w14:textId="77777777" w:rsidR="00422954" w:rsidRPr="00FE57FC" w:rsidRDefault="00422954" w:rsidP="00422954">
      <w:pPr>
        <w:pStyle w:val="PargrafodaLista"/>
        <w:numPr>
          <w:ilvl w:val="0"/>
          <w:numId w:val="7"/>
        </w:numPr>
        <w:tabs>
          <w:tab w:val="left" w:pos="1902"/>
        </w:tabs>
        <w:jc w:val="both"/>
        <w:rPr>
          <w:rFonts w:ascii="Garamond" w:eastAsia="Times New Roman" w:hAnsi="Garamond" w:cs="Arial"/>
          <w:color w:val="002060"/>
          <w:sz w:val="24"/>
          <w:szCs w:val="24"/>
          <w:lang w:eastAsia="pt-BR"/>
        </w:rPr>
      </w:pPr>
      <w:r w:rsidRPr="00FE57FC">
        <w:rPr>
          <w:rFonts w:ascii="Garamond" w:eastAsia="Times New Roman" w:hAnsi="Garamond" w:cs="Arial"/>
          <w:color w:val="002060"/>
          <w:sz w:val="24"/>
          <w:szCs w:val="24"/>
          <w:lang w:eastAsia="pt-BR"/>
        </w:rPr>
        <w:t>Assegurar a efetividade nos Sistemas de Controles Internos; e</w:t>
      </w:r>
    </w:p>
    <w:p w14:paraId="13118DC9" w14:textId="77777777" w:rsidR="00422954" w:rsidRPr="00FE57FC" w:rsidRDefault="00422954" w:rsidP="00422954">
      <w:pPr>
        <w:pStyle w:val="PargrafodaLista"/>
        <w:numPr>
          <w:ilvl w:val="0"/>
          <w:numId w:val="7"/>
        </w:numPr>
        <w:tabs>
          <w:tab w:val="left" w:pos="1902"/>
        </w:tabs>
        <w:jc w:val="both"/>
        <w:rPr>
          <w:rFonts w:ascii="Garamond" w:eastAsia="Times New Roman" w:hAnsi="Garamond" w:cs="Arial"/>
          <w:color w:val="002060"/>
          <w:sz w:val="24"/>
          <w:szCs w:val="24"/>
          <w:lang w:eastAsia="pt-BR"/>
        </w:rPr>
      </w:pPr>
      <w:r w:rsidRPr="00FE57FC">
        <w:rPr>
          <w:rFonts w:ascii="Garamond" w:eastAsia="Times New Roman" w:hAnsi="Garamond" w:cs="Arial"/>
          <w:color w:val="002060"/>
          <w:sz w:val="24"/>
          <w:szCs w:val="24"/>
          <w:lang w:eastAsia="pt-BR"/>
        </w:rPr>
        <w:t>Garantir a continuidade e qualidade na execução dos serviços prestados à União.</w:t>
      </w:r>
    </w:p>
    <w:p w14:paraId="237902F5" w14:textId="77777777" w:rsidR="00422954" w:rsidRPr="00FE57FC" w:rsidRDefault="00422954" w:rsidP="00422954">
      <w:pPr>
        <w:tabs>
          <w:tab w:val="left" w:pos="1902"/>
        </w:tabs>
        <w:jc w:val="both"/>
        <w:rPr>
          <w:rFonts w:ascii="Garamond" w:eastAsia="Times New Roman" w:hAnsi="Garamond" w:cs="Arial"/>
          <w:color w:val="002060"/>
          <w:sz w:val="24"/>
          <w:szCs w:val="24"/>
          <w:lang w:eastAsia="pt-BR"/>
        </w:rPr>
      </w:pPr>
      <w:r w:rsidRPr="00FE57FC">
        <w:rPr>
          <w:rFonts w:ascii="Garamond" w:eastAsia="Times New Roman" w:hAnsi="Garamond" w:cs="Arial"/>
          <w:color w:val="002060"/>
          <w:sz w:val="24"/>
          <w:szCs w:val="24"/>
          <w:lang w:eastAsia="pt-BR"/>
        </w:rPr>
        <w:t>O realinhamento também foi refletido nos objetivos estratégicos e no conjunto de ações estratégicas, de forma a concentrar os esforços organizacionais na geração de valor público à sociedade.</w:t>
      </w:r>
    </w:p>
    <w:p w14:paraId="7473278D" w14:textId="77777777" w:rsidR="00DB1F53" w:rsidRPr="00FE57FC" w:rsidRDefault="004425AF" w:rsidP="00422954">
      <w:pPr>
        <w:jc w:val="both"/>
        <w:rPr>
          <w:rFonts w:ascii="Garamond" w:hAnsi="Garamond" w:cs="Arial"/>
          <w:b/>
          <w:color w:val="002060"/>
          <w:sz w:val="24"/>
          <w:szCs w:val="24"/>
        </w:rPr>
      </w:pPr>
      <w:r w:rsidRPr="00FE57FC">
        <w:rPr>
          <w:rFonts w:ascii="Garamond" w:hAnsi="Garamond" w:cs="Arial"/>
          <w:b/>
          <w:color w:val="002060"/>
          <w:sz w:val="24"/>
          <w:szCs w:val="24"/>
        </w:rPr>
        <w:t>6. Estruturas de Controles Internos e Gerenciamento de Riscos</w:t>
      </w:r>
    </w:p>
    <w:p w14:paraId="00C12F0F" w14:textId="5D9BBA78" w:rsidR="00C660CB" w:rsidRPr="00FE57FC" w:rsidRDefault="00C660CB" w:rsidP="003048E2">
      <w:pPr>
        <w:jc w:val="both"/>
        <w:rPr>
          <w:rFonts w:ascii="Garamond" w:hAnsi="Garamond" w:cs="Arial"/>
          <w:color w:val="002060"/>
          <w:sz w:val="24"/>
          <w:szCs w:val="24"/>
        </w:rPr>
      </w:pPr>
      <w:r w:rsidRPr="00FE57FC">
        <w:rPr>
          <w:rFonts w:ascii="Garamond" w:eastAsia="Klavika-Bold" w:hAnsi="Garamond" w:cs="Arial"/>
          <w:bCs/>
          <w:color w:val="002060"/>
          <w:sz w:val="24"/>
          <w:szCs w:val="24"/>
        </w:rPr>
        <w:t xml:space="preserve">A estrutura de governança está organizada em dois pilares de sustentação, sendo um orientado para gestão corporativa e o outro para fiscalização e controle, sendo composta </w:t>
      </w:r>
      <w:r w:rsidR="00D727C1">
        <w:rPr>
          <w:rFonts w:ascii="Garamond" w:eastAsia="Klavika-Bold" w:hAnsi="Garamond" w:cs="Arial"/>
          <w:bCs/>
          <w:color w:val="002060"/>
          <w:sz w:val="24"/>
          <w:szCs w:val="24"/>
        </w:rPr>
        <w:t>pela seguinte estrutura</w:t>
      </w:r>
      <w:r w:rsidRPr="00FE57FC">
        <w:rPr>
          <w:rFonts w:ascii="Garamond" w:eastAsia="Klavika-Bold" w:hAnsi="Garamond" w:cs="Arial"/>
          <w:bCs/>
          <w:color w:val="002060"/>
          <w:sz w:val="24"/>
          <w:szCs w:val="24"/>
        </w:rPr>
        <w:t xml:space="preserve">: Assembleia Geral de Acionistas, Conselho de Administração, Conselho Fiscal, Diretoria-Executiva, Comitê de Auditoria, </w:t>
      </w:r>
      <w:r w:rsidR="001E1A4E" w:rsidRPr="00FE57FC">
        <w:rPr>
          <w:rFonts w:ascii="Garamond" w:eastAsia="Klavika-Bold" w:hAnsi="Garamond" w:cs="Arial"/>
          <w:bCs/>
          <w:color w:val="002060"/>
          <w:sz w:val="24"/>
          <w:szCs w:val="24"/>
        </w:rPr>
        <w:t>Comitê de Pessoas, Elegibilidade, Sucessão e Remuneração,</w:t>
      </w:r>
      <w:r w:rsidR="001E1A4E" w:rsidRPr="00FE57FC">
        <w:rPr>
          <w:color w:val="002060"/>
        </w:rPr>
        <w:t xml:space="preserve"> </w:t>
      </w:r>
      <w:r w:rsidRPr="00FE57FC">
        <w:rPr>
          <w:rFonts w:ascii="Garamond" w:eastAsia="Klavika-Bold" w:hAnsi="Garamond" w:cs="Arial"/>
          <w:bCs/>
          <w:color w:val="002060"/>
          <w:sz w:val="24"/>
          <w:szCs w:val="24"/>
        </w:rPr>
        <w:t xml:space="preserve">Auditoria Interna e Auditoria Independente. </w:t>
      </w:r>
    </w:p>
    <w:p w14:paraId="0E36F60B" w14:textId="0D73D863" w:rsidR="00C660CB" w:rsidRPr="00FE57FC" w:rsidRDefault="00C660CB" w:rsidP="003048E2">
      <w:pPr>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lastRenderedPageBreak/>
        <w:t>A Assembleia Geral de Acionista</w:t>
      </w:r>
      <w:r w:rsidR="00811BEA" w:rsidRPr="00FE57FC">
        <w:rPr>
          <w:rFonts w:ascii="Garamond" w:eastAsia="Klavika-Bold" w:hAnsi="Garamond" w:cs="Arial"/>
          <w:bCs/>
          <w:color w:val="002060"/>
          <w:sz w:val="24"/>
          <w:szCs w:val="24"/>
        </w:rPr>
        <w:t>s</w:t>
      </w:r>
      <w:r w:rsidRPr="00FE57FC">
        <w:rPr>
          <w:rFonts w:ascii="Garamond" w:eastAsia="Klavika-Bold" w:hAnsi="Garamond" w:cs="Arial"/>
          <w:bCs/>
          <w:color w:val="002060"/>
          <w:sz w:val="24"/>
          <w:szCs w:val="24"/>
        </w:rPr>
        <w:t xml:space="preserve"> é </w:t>
      </w:r>
      <w:r w:rsidR="00811BEA" w:rsidRPr="00FE57FC">
        <w:rPr>
          <w:rFonts w:ascii="Garamond" w:eastAsia="Klavika-Bold" w:hAnsi="Garamond" w:cs="Arial"/>
          <w:bCs/>
          <w:color w:val="002060"/>
          <w:sz w:val="24"/>
          <w:szCs w:val="24"/>
        </w:rPr>
        <w:t xml:space="preserve">Órgão </w:t>
      </w:r>
      <w:r w:rsidRPr="00FE57FC">
        <w:rPr>
          <w:rFonts w:ascii="Garamond" w:eastAsia="Klavika-Bold" w:hAnsi="Garamond" w:cs="Arial"/>
          <w:bCs/>
          <w:color w:val="002060"/>
          <w:sz w:val="24"/>
          <w:szCs w:val="24"/>
        </w:rPr>
        <w:t xml:space="preserve">máximo da ABGF, com poderes para deliberar sobre os negócios relativos ao seu objeto. A União é a única acionista e é representada nas assembleias pela Procuradoria-Geral da Fazenda Nacional (PGFN), que atua seguindo as orientações do Governo Federal. </w:t>
      </w:r>
    </w:p>
    <w:p w14:paraId="6D89C22F" w14:textId="1F6C451E" w:rsidR="00C660CB" w:rsidRPr="00FE57FC" w:rsidRDefault="00C660CB" w:rsidP="003048E2">
      <w:pPr>
        <w:jc w:val="both"/>
        <w:rPr>
          <w:rFonts w:ascii="Garamond" w:hAnsi="Garamond" w:cs="Arial"/>
          <w:color w:val="002060"/>
          <w:sz w:val="24"/>
          <w:szCs w:val="24"/>
        </w:rPr>
      </w:pPr>
      <w:r w:rsidRPr="00FE57FC">
        <w:rPr>
          <w:rFonts w:ascii="Garamond" w:eastAsia="Klavika-Bold" w:hAnsi="Garamond" w:cs="Arial"/>
          <w:bCs/>
          <w:color w:val="002060"/>
          <w:sz w:val="24"/>
          <w:szCs w:val="24"/>
        </w:rPr>
        <w:t xml:space="preserve">O Conselho de Administração é o órgão colegiado responsável pela orientação geral de negócios </w:t>
      </w:r>
      <w:r w:rsidR="00811BEA" w:rsidRPr="00FE57FC">
        <w:rPr>
          <w:rFonts w:ascii="Garamond" w:eastAsia="Klavika-Bold" w:hAnsi="Garamond" w:cs="Arial"/>
          <w:bCs/>
          <w:color w:val="002060"/>
          <w:sz w:val="24"/>
          <w:szCs w:val="24"/>
        </w:rPr>
        <w:t xml:space="preserve">e </w:t>
      </w:r>
      <w:r w:rsidRPr="00FE57FC">
        <w:rPr>
          <w:rFonts w:ascii="Garamond" w:eastAsia="Klavika-Bold" w:hAnsi="Garamond" w:cs="Arial"/>
          <w:bCs/>
          <w:color w:val="002060"/>
          <w:sz w:val="24"/>
          <w:szCs w:val="24"/>
        </w:rPr>
        <w:t>decid</w:t>
      </w:r>
      <w:r w:rsidR="00811BEA" w:rsidRPr="00FE57FC">
        <w:rPr>
          <w:rFonts w:ascii="Garamond" w:eastAsia="Klavika-Bold" w:hAnsi="Garamond" w:cs="Arial"/>
          <w:bCs/>
          <w:color w:val="002060"/>
          <w:sz w:val="24"/>
          <w:szCs w:val="24"/>
        </w:rPr>
        <w:t>e</w:t>
      </w:r>
      <w:r w:rsidRPr="00FE57FC">
        <w:rPr>
          <w:rFonts w:ascii="Garamond" w:eastAsia="Klavika-Bold" w:hAnsi="Garamond" w:cs="Arial"/>
          <w:bCs/>
          <w:color w:val="002060"/>
          <w:sz w:val="24"/>
          <w:szCs w:val="24"/>
        </w:rPr>
        <w:t xml:space="preserve"> sobre os rumos estratégicos da ABGF. Além de definir as diretrizes estratégicas, é o guardião do sistema de governança</w:t>
      </w:r>
      <w:r w:rsidR="005E3705" w:rsidRPr="00FE57FC">
        <w:rPr>
          <w:rFonts w:ascii="Garamond" w:eastAsia="Klavika-Bold" w:hAnsi="Garamond" w:cs="Arial"/>
          <w:bCs/>
          <w:color w:val="002060"/>
          <w:sz w:val="24"/>
          <w:szCs w:val="24"/>
        </w:rPr>
        <w:t xml:space="preserve"> e conta com dois órgãos de assessoramento: o</w:t>
      </w:r>
      <w:r w:rsidR="001E1A4E" w:rsidRPr="00FE57FC">
        <w:rPr>
          <w:rFonts w:ascii="Garamond" w:eastAsia="Klavika-Bold" w:hAnsi="Garamond" w:cs="Arial"/>
          <w:bCs/>
          <w:color w:val="002060"/>
          <w:sz w:val="24"/>
          <w:szCs w:val="24"/>
        </w:rPr>
        <w:t xml:space="preserve"> Comitê de Auditoria</w:t>
      </w:r>
      <w:r w:rsidR="005E3705" w:rsidRPr="00FE57FC">
        <w:rPr>
          <w:rFonts w:ascii="Garamond" w:eastAsia="Klavika-Bold" w:hAnsi="Garamond" w:cs="Arial"/>
          <w:bCs/>
          <w:color w:val="002060"/>
          <w:sz w:val="24"/>
          <w:szCs w:val="24"/>
        </w:rPr>
        <w:t>; e o Comitê de Pessoas, Elegibilidade, Sucessão e Remuneração.</w:t>
      </w:r>
      <w:r w:rsidR="001E1A4E" w:rsidRPr="00FE57FC">
        <w:rPr>
          <w:rFonts w:ascii="Garamond" w:eastAsia="Klavika-Bold" w:hAnsi="Garamond" w:cs="Arial"/>
          <w:bCs/>
          <w:color w:val="002060"/>
          <w:sz w:val="24"/>
          <w:szCs w:val="24"/>
        </w:rPr>
        <w:t xml:space="preserve"> </w:t>
      </w:r>
    </w:p>
    <w:p w14:paraId="58EB87A3" w14:textId="77777777" w:rsidR="005E3705" w:rsidRPr="00FE57FC" w:rsidRDefault="005E3705" w:rsidP="003048E2">
      <w:pPr>
        <w:widowControl w:val="0"/>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O Comitê de Auditoria é um órgão de assessoramento ao Conselho de Administração no que se refere ao exercício de suas funções de auditoria e de fiscalização sobre a qualidade das demonstrações contábeis e a efetividade dos sistemas de controles internos e das auditorias interna e independente.</w:t>
      </w:r>
    </w:p>
    <w:p w14:paraId="5EBF5280" w14:textId="77777777" w:rsidR="005E3705" w:rsidRPr="00FE57FC" w:rsidRDefault="005E3705" w:rsidP="003048E2">
      <w:pPr>
        <w:widowControl w:val="0"/>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O Comitê de Pessoas, Elegibilidade, Sucessão e Remuneração, que tem por finalidade assessorar os acionistas e o Conselho nos processos de indicação, de avaliação, de sucessão e remuneração dos administradores, conselheiros fiscais e demais membros de órgãos estatutários.</w:t>
      </w:r>
    </w:p>
    <w:p w14:paraId="6CCCF3FB" w14:textId="17A457D6" w:rsidR="00C660CB" w:rsidRPr="00FE57FC" w:rsidRDefault="00C660CB" w:rsidP="003048E2">
      <w:pPr>
        <w:widowControl w:val="0"/>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A Diretoria-Executiva é o órgão responsável pela administração da ABGF, cabendo-lhe cumprir e fazer cumprir o Estatuto Social, as deliberações da Assembleia Geral de Acionistas, as decisões e a orientação geral dos negócios</w:t>
      </w:r>
      <w:r w:rsidR="00B22C4D" w:rsidRPr="00FE57FC">
        <w:rPr>
          <w:rFonts w:ascii="Garamond" w:eastAsia="Klavika-Bold" w:hAnsi="Garamond" w:cs="Arial"/>
          <w:bCs/>
          <w:color w:val="002060"/>
          <w:sz w:val="24"/>
          <w:szCs w:val="24"/>
        </w:rPr>
        <w:t>,</w:t>
      </w:r>
      <w:r w:rsidRPr="00FE57FC">
        <w:rPr>
          <w:rFonts w:ascii="Garamond" w:eastAsia="Klavika-Bold" w:hAnsi="Garamond" w:cs="Arial"/>
          <w:bCs/>
          <w:color w:val="002060"/>
          <w:sz w:val="24"/>
          <w:szCs w:val="24"/>
        </w:rPr>
        <w:t xml:space="preserve"> emanadas pelo Conselho de Administração, de forma a garantir o funcionamento da ABGF. A Diretoria Executiva é composta por </w:t>
      </w:r>
      <w:r w:rsidR="000E4A55" w:rsidRPr="00FE57FC">
        <w:rPr>
          <w:rFonts w:ascii="Garamond" w:eastAsia="Klavika-Bold" w:hAnsi="Garamond" w:cs="Arial"/>
          <w:bCs/>
          <w:color w:val="002060"/>
          <w:sz w:val="24"/>
          <w:szCs w:val="24"/>
        </w:rPr>
        <w:t>três</w:t>
      </w:r>
      <w:r w:rsidRPr="00FE57FC">
        <w:rPr>
          <w:rFonts w:ascii="Garamond" w:eastAsia="Klavika-Bold" w:hAnsi="Garamond" w:cs="Arial"/>
          <w:bCs/>
          <w:color w:val="002060"/>
          <w:sz w:val="24"/>
          <w:szCs w:val="24"/>
        </w:rPr>
        <w:t xml:space="preserve"> membros, sendo o Presidente, </w:t>
      </w:r>
      <w:r w:rsidR="00F30517" w:rsidRPr="00FE57FC">
        <w:rPr>
          <w:rFonts w:ascii="Garamond" w:eastAsia="Klavika-Bold" w:hAnsi="Garamond" w:cs="Arial"/>
          <w:bCs/>
          <w:color w:val="002060"/>
          <w:sz w:val="24"/>
          <w:szCs w:val="24"/>
        </w:rPr>
        <w:t>a</w:t>
      </w:r>
      <w:r w:rsidRPr="00FE57FC">
        <w:rPr>
          <w:rFonts w:ascii="Garamond" w:eastAsia="Klavika-Bold" w:hAnsi="Garamond" w:cs="Arial"/>
          <w:bCs/>
          <w:color w:val="002060"/>
          <w:sz w:val="24"/>
          <w:szCs w:val="24"/>
        </w:rPr>
        <w:t xml:space="preserve"> Diretor</w:t>
      </w:r>
      <w:r w:rsidR="00F30517" w:rsidRPr="00FE57FC">
        <w:rPr>
          <w:rFonts w:ascii="Garamond" w:eastAsia="Klavika-Bold" w:hAnsi="Garamond" w:cs="Arial"/>
          <w:bCs/>
          <w:color w:val="002060"/>
          <w:sz w:val="24"/>
          <w:szCs w:val="24"/>
        </w:rPr>
        <w:t>a</w:t>
      </w:r>
      <w:r w:rsidRPr="00FE57FC">
        <w:rPr>
          <w:rFonts w:ascii="Garamond" w:eastAsia="Klavika-Bold" w:hAnsi="Garamond" w:cs="Arial"/>
          <w:bCs/>
          <w:color w:val="002060"/>
          <w:sz w:val="24"/>
          <w:szCs w:val="24"/>
        </w:rPr>
        <w:t xml:space="preserve"> de </w:t>
      </w:r>
      <w:r w:rsidR="00F30517" w:rsidRPr="00FE57FC">
        <w:rPr>
          <w:rFonts w:ascii="Garamond" w:eastAsia="Klavika-Bold" w:hAnsi="Garamond" w:cs="Arial"/>
          <w:bCs/>
          <w:color w:val="002060"/>
          <w:sz w:val="24"/>
          <w:szCs w:val="24"/>
        </w:rPr>
        <w:t>Garantias</w:t>
      </w:r>
      <w:r w:rsidRPr="00FE57FC">
        <w:rPr>
          <w:rFonts w:ascii="Garamond" w:eastAsia="Klavika-Bold" w:hAnsi="Garamond" w:cs="Arial"/>
          <w:bCs/>
          <w:color w:val="002060"/>
          <w:sz w:val="24"/>
          <w:szCs w:val="24"/>
        </w:rPr>
        <w:t xml:space="preserve"> e o Diretor Administrativo </w:t>
      </w:r>
      <w:r w:rsidR="00811BEA" w:rsidRPr="00FE57FC">
        <w:rPr>
          <w:rFonts w:ascii="Garamond" w:eastAsia="Klavika-Bold" w:hAnsi="Garamond" w:cs="Arial"/>
          <w:bCs/>
          <w:color w:val="002060"/>
          <w:sz w:val="24"/>
          <w:szCs w:val="24"/>
        </w:rPr>
        <w:t xml:space="preserve">e </w:t>
      </w:r>
      <w:r w:rsidRPr="00FE57FC">
        <w:rPr>
          <w:rFonts w:ascii="Garamond" w:eastAsia="Klavika-Bold" w:hAnsi="Garamond" w:cs="Arial"/>
          <w:bCs/>
          <w:color w:val="002060"/>
          <w:sz w:val="24"/>
          <w:szCs w:val="24"/>
        </w:rPr>
        <w:t xml:space="preserve">Financeiro. As decisões da Diretoria Executiva buscam </w:t>
      </w:r>
      <w:r w:rsidR="007C5C6D" w:rsidRPr="00FE57FC">
        <w:rPr>
          <w:rFonts w:ascii="Garamond" w:eastAsia="Klavika-Bold" w:hAnsi="Garamond" w:cs="Arial"/>
          <w:bCs/>
          <w:color w:val="002060"/>
          <w:sz w:val="24"/>
          <w:szCs w:val="24"/>
        </w:rPr>
        <w:t>viabilizar</w:t>
      </w:r>
      <w:r w:rsidRPr="00FE57FC">
        <w:rPr>
          <w:rFonts w:ascii="Garamond" w:eastAsia="Klavika-Bold" w:hAnsi="Garamond" w:cs="Arial"/>
          <w:bCs/>
          <w:color w:val="002060"/>
          <w:sz w:val="24"/>
          <w:szCs w:val="24"/>
        </w:rPr>
        <w:t xml:space="preserve"> as diretrizes estratégicas estabelecidas </w:t>
      </w:r>
      <w:r w:rsidR="00B22C4D" w:rsidRPr="00FE57FC">
        <w:rPr>
          <w:rFonts w:ascii="Garamond" w:eastAsia="Klavika-Bold" w:hAnsi="Garamond" w:cs="Arial"/>
          <w:bCs/>
          <w:color w:val="002060"/>
          <w:sz w:val="24"/>
          <w:szCs w:val="24"/>
        </w:rPr>
        <w:t xml:space="preserve">de forma a </w:t>
      </w:r>
      <w:r w:rsidRPr="00FE57FC">
        <w:rPr>
          <w:rFonts w:ascii="Garamond" w:eastAsia="Klavika-Bold" w:hAnsi="Garamond" w:cs="Arial"/>
          <w:bCs/>
          <w:color w:val="002060"/>
          <w:sz w:val="24"/>
          <w:szCs w:val="24"/>
        </w:rPr>
        <w:t>gerar valor e garantir a sustentabilidade da ABGF.</w:t>
      </w:r>
    </w:p>
    <w:p w14:paraId="0DB8CB37" w14:textId="77777777" w:rsidR="00C660CB" w:rsidRPr="00FE57FC" w:rsidRDefault="00C660CB" w:rsidP="003048E2">
      <w:pPr>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 xml:space="preserve">O Conselho Fiscal é </w:t>
      </w:r>
      <w:r w:rsidR="00811BEA" w:rsidRPr="00FE57FC">
        <w:rPr>
          <w:rFonts w:ascii="Garamond" w:eastAsia="Klavika-Bold" w:hAnsi="Garamond" w:cs="Arial"/>
          <w:bCs/>
          <w:color w:val="002060"/>
          <w:sz w:val="24"/>
          <w:szCs w:val="24"/>
        </w:rPr>
        <w:t>o</w:t>
      </w:r>
      <w:r w:rsidRPr="00FE57FC">
        <w:rPr>
          <w:rFonts w:ascii="Garamond" w:eastAsia="Klavika-Bold" w:hAnsi="Garamond" w:cs="Arial"/>
          <w:bCs/>
          <w:color w:val="002060"/>
          <w:sz w:val="24"/>
          <w:szCs w:val="24"/>
        </w:rPr>
        <w:t xml:space="preserve"> </w:t>
      </w:r>
      <w:r w:rsidR="00F20193" w:rsidRPr="00FE57FC">
        <w:rPr>
          <w:rFonts w:ascii="Garamond" w:eastAsia="Klavika-Bold" w:hAnsi="Garamond" w:cs="Arial"/>
          <w:bCs/>
          <w:color w:val="002060"/>
          <w:sz w:val="24"/>
          <w:szCs w:val="24"/>
        </w:rPr>
        <w:t>ó</w:t>
      </w:r>
      <w:r w:rsidRPr="00FE57FC">
        <w:rPr>
          <w:rFonts w:ascii="Garamond" w:eastAsia="Klavika-Bold" w:hAnsi="Garamond" w:cs="Arial"/>
          <w:bCs/>
          <w:color w:val="002060"/>
          <w:sz w:val="24"/>
          <w:szCs w:val="24"/>
        </w:rPr>
        <w:t xml:space="preserve">rgão permanente de fiscalização da gestão orçamentária, financeira e patrimonial da Empresa. Vinculado diretamente à Assembleia Geral de Acionistas, o Conselho Fiscal tem um papel relevante na fiscalização independente dos atos </w:t>
      </w:r>
      <w:r w:rsidR="00811BEA" w:rsidRPr="00FE57FC">
        <w:rPr>
          <w:rFonts w:ascii="Garamond" w:eastAsia="Klavika-Bold" w:hAnsi="Garamond" w:cs="Arial"/>
          <w:bCs/>
          <w:color w:val="002060"/>
          <w:sz w:val="24"/>
          <w:szCs w:val="24"/>
        </w:rPr>
        <w:t xml:space="preserve">de </w:t>
      </w:r>
      <w:r w:rsidRPr="00FE57FC">
        <w:rPr>
          <w:rFonts w:ascii="Garamond" w:eastAsia="Klavika-Bold" w:hAnsi="Garamond" w:cs="Arial"/>
          <w:bCs/>
          <w:color w:val="002060"/>
          <w:sz w:val="24"/>
          <w:szCs w:val="24"/>
        </w:rPr>
        <w:t xml:space="preserve">gestão. </w:t>
      </w:r>
    </w:p>
    <w:p w14:paraId="3511DA37" w14:textId="108785F4" w:rsidR="001E1A4E" w:rsidRPr="00FE57FC" w:rsidRDefault="00C660CB" w:rsidP="001E1A4E">
      <w:pPr>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 xml:space="preserve"> </w:t>
      </w:r>
      <w:r w:rsidR="001E1A4E" w:rsidRPr="00FE57FC">
        <w:rPr>
          <w:rFonts w:ascii="Garamond" w:eastAsia="Klavika-Bold" w:hAnsi="Garamond" w:cs="Arial"/>
          <w:bCs/>
          <w:color w:val="002060"/>
          <w:sz w:val="24"/>
          <w:szCs w:val="24"/>
        </w:rPr>
        <w:t>A ABGF conta ainda, com</w:t>
      </w:r>
      <w:r w:rsidR="005E3705" w:rsidRPr="00FE57FC">
        <w:rPr>
          <w:rFonts w:ascii="Garamond" w:eastAsia="Klavika-Bold" w:hAnsi="Garamond" w:cs="Arial"/>
          <w:bCs/>
          <w:color w:val="002060"/>
          <w:sz w:val="24"/>
          <w:szCs w:val="24"/>
        </w:rPr>
        <w:t xml:space="preserve">: </w:t>
      </w:r>
      <w:r w:rsidR="001E1A4E" w:rsidRPr="00FE57FC">
        <w:rPr>
          <w:rFonts w:ascii="Garamond" w:eastAsia="Klavika-Bold" w:hAnsi="Garamond" w:cs="Arial"/>
          <w:bCs/>
          <w:color w:val="002060"/>
          <w:sz w:val="24"/>
          <w:szCs w:val="24"/>
        </w:rPr>
        <w:t>Auditoria Interna, responsável por avaliar a adequabilidade dos controles internos e do gerenciamento de riscos</w:t>
      </w:r>
      <w:r w:rsidR="005E3705" w:rsidRPr="00FE57FC">
        <w:rPr>
          <w:rFonts w:ascii="Garamond" w:eastAsia="Klavika-Bold" w:hAnsi="Garamond" w:cs="Arial"/>
          <w:bCs/>
          <w:color w:val="002060"/>
          <w:sz w:val="24"/>
          <w:szCs w:val="24"/>
        </w:rPr>
        <w:t xml:space="preserve">; </w:t>
      </w:r>
      <w:r w:rsidR="001E1A4E" w:rsidRPr="00FE57FC">
        <w:rPr>
          <w:rFonts w:ascii="Garamond" w:eastAsia="Klavika-Bold" w:hAnsi="Garamond" w:cs="Arial"/>
          <w:bCs/>
          <w:color w:val="002060"/>
          <w:sz w:val="24"/>
          <w:szCs w:val="24"/>
        </w:rPr>
        <w:t>Auditoria Independente</w:t>
      </w:r>
      <w:r w:rsidR="005E3705" w:rsidRPr="00FE57FC">
        <w:rPr>
          <w:rFonts w:ascii="Garamond" w:eastAsia="Klavika-Bold" w:hAnsi="Garamond" w:cs="Arial"/>
          <w:bCs/>
          <w:color w:val="002060"/>
          <w:sz w:val="24"/>
          <w:szCs w:val="24"/>
        </w:rPr>
        <w:t>,</w:t>
      </w:r>
      <w:r w:rsidR="001E1A4E" w:rsidRPr="00FE57FC">
        <w:rPr>
          <w:rFonts w:ascii="Garamond" w:eastAsia="Klavika-Bold" w:hAnsi="Garamond" w:cs="Arial"/>
          <w:bCs/>
          <w:color w:val="002060"/>
          <w:sz w:val="24"/>
          <w:szCs w:val="24"/>
        </w:rPr>
        <w:t xml:space="preserve"> </w:t>
      </w:r>
      <w:r w:rsidR="005E3705" w:rsidRPr="00FE57FC">
        <w:rPr>
          <w:rFonts w:ascii="Garamond" w:eastAsia="Klavika-Bold" w:hAnsi="Garamond" w:cs="Arial"/>
          <w:bCs/>
          <w:color w:val="002060"/>
          <w:sz w:val="24"/>
          <w:szCs w:val="24"/>
        </w:rPr>
        <w:t xml:space="preserve">empresa </w:t>
      </w:r>
      <w:r w:rsidR="001E1A4E" w:rsidRPr="00FE57FC">
        <w:rPr>
          <w:rFonts w:ascii="Garamond" w:eastAsia="Klavika-Bold" w:hAnsi="Garamond" w:cs="Arial"/>
          <w:bCs/>
          <w:color w:val="002060"/>
          <w:sz w:val="24"/>
          <w:szCs w:val="24"/>
        </w:rPr>
        <w:t>contratada para auditar as demonstrações contábeis e financeiras da ABGF</w:t>
      </w:r>
      <w:r w:rsidR="005E3705" w:rsidRPr="00FE57FC">
        <w:rPr>
          <w:rFonts w:ascii="Garamond" w:eastAsia="Klavika-Bold" w:hAnsi="Garamond" w:cs="Arial"/>
          <w:bCs/>
          <w:color w:val="002060"/>
          <w:sz w:val="24"/>
          <w:szCs w:val="24"/>
        </w:rPr>
        <w:t>;</w:t>
      </w:r>
      <w:r w:rsidR="001E1A4E" w:rsidRPr="00FE57FC">
        <w:rPr>
          <w:rFonts w:ascii="Garamond" w:eastAsia="Klavika-Bold" w:hAnsi="Garamond" w:cs="Arial"/>
          <w:bCs/>
          <w:color w:val="002060"/>
          <w:sz w:val="24"/>
          <w:szCs w:val="24"/>
        </w:rPr>
        <w:t xml:space="preserve"> e </w:t>
      </w:r>
      <w:r w:rsidR="005E3705" w:rsidRPr="00FE57FC">
        <w:rPr>
          <w:rFonts w:ascii="Garamond" w:eastAsia="Klavika-Bold" w:hAnsi="Garamond" w:cs="Arial"/>
          <w:bCs/>
          <w:color w:val="002060"/>
          <w:sz w:val="24"/>
          <w:szCs w:val="24"/>
        </w:rPr>
        <w:t xml:space="preserve">a </w:t>
      </w:r>
      <w:r w:rsidR="001E1A4E" w:rsidRPr="00FE57FC">
        <w:rPr>
          <w:rFonts w:ascii="Garamond" w:eastAsia="Klavika-Bold" w:hAnsi="Garamond" w:cs="Arial"/>
          <w:bCs/>
          <w:color w:val="002060"/>
          <w:sz w:val="24"/>
          <w:szCs w:val="24"/>
        </w:rPr>
        <w:t xml:space="preserve">Gerência de </w:t>
      </w:r>
      <w:r w:rsidR="005E3705" w:rsidRPr="00FE57FC">
        <w:rPr>
          <w:rFonts w:ascii="Garamond" w:eastAsia="Klavika-Bold" w:hAnsi="Garamond" w:cs="Arial"/>
          <w:bCs/>
          <w:color w:val="002060"/>
          <w:sz w:val="24"/>
          <w:szCs w:val="24"/>
        </w:rPr>
        <w:t xml:space="preserve">Gestão de </w:t>
      </w:r>
      <w:r w:rsidR="001E1A4E" w:rsidRPr="00FE57FC">
        <w:rPr>
          <w:rFonts w:ascii="Garamond" w:eastAsia="Klavika-Bold" w:hAnsi="Garamond" w:cs="Arial"/>
          <w:bCs/>
          <w:color w:val="002060"/>
          <w:sz w:val="24"/>
          <w:szCs w:val="24"/>
        </w:rPr>
        <w:t>Riscos e Conformidade, responsável pelas verificações do cumprimento dos controles e da conformidade com os regulamentos internos e externos</w:t>
      </w:r>
      <w:r w:rsidR="005E3705" w:rsidRPr="00FE57FC">
        <w:rPr>
          <w:rFonts w:ascii="Garamond" w:eastAsia="Klavika-Bold" w:hAnsi="Garamond" w:cs="Arial"/>
          <w:bCs/>
          <w:color w:val="002060"/>
          <w:sz w:val="24"/>
          <w:szCs w:val="24"/>
        </w:rPr>
        <w:t>.</w:t>
      </w:r>
      <w:r w:rsidR="001E1A4E" w:rsidRPr="00FE57FC">
        <w:rPr>
          <w:rFonts w:ascii="Garamond" w:eastAsia="Klavika-Bold" w:hAnsi="Garamond" w:cs="Arial"/>
          <w:bCs/>
          <w:color w:val="002060"/>
          <w:sz w:val="24"/>
          <w:szCs w:val="24"/>
        </w:rPr>
        <w:t xml:space="preserve"> </w:t>
      </w:r>
    </w:p>
    <w:p w14:paraId="08ED2F4C" w14:textId="77777777" w:rsidR="00D703FE" w:rsidRPr="00FE57FC" w:rsidRDefault="004425AF" w:rsidP="003048E2">
      <w:pPr>
        <w:spacing w:before="120" w:after="120" w:line="240" w:lineRule="auto"/>
        <w:jc w:val="both"/>
        <w:rPr>
          <w:rFonts w:ascii="Garamond" w:hAnsi="Garamond" w:cs="Arial"/>
          <w:b/>
          <w:color w:val="002060"/>
          <w:sz w:val="24"/>
          <w:szCs w:val="24"/>
        </w:rPr>
      </w:pPr>
      <w:r w:rsidRPr="00FE57FC">
        <w:rPr>
          <w:rFonts w:ascii="Garamond" w:hAnsi="Garamond" w:cs="Arial"/>
          <w:b/>
          <w:color w:val="002060"/>
          <w:sz w:val="24"/>
          <w:szCs w:val="24"/>
        </w:rPr>
        <w:t>7. Fatores de Risco</w:t>
      </w:r>
    </w:p>
    <w:p w14:paraId="0E3C3CBF" w14:textId="3D219F7C" w:rsidR="001E1A4E" w:rsidRPr="00FE57FC" w:rsidRDefault="0059067E" w:rsidP="001E1A4E">
      <w:pPr>
        <w:jc w:val="both"/>
        <w:rPr>
          <w:color w:val="002060"/>
        </w:rPr>
      </w:pPr>
      <w:r w:rsidRPr="00FE57FC">
        <w:rPr>
          <w:rFonts w:ascii="Garamond" w:eastAsia="Klavika-Bold" w:hAnsi="Garamond" w:cs="Arial"/>
          <w:bCs/>
          <w:color w:val="002060"/>
          <w:sz w:val="24"/>
          <w:szCs w:val="24"/>
        </w:rPr>
        <w:t>O modelo de gestão de riscos da ABGF está fundamentado em metodologia própria que tomou por base as meto</w:t>
      </w:r>
      <w:r w:rsidRPr="00FE57FC">
        <w:rPr>
          <w:rFonts w:ascii="Garamond" w:eastAsia="Klavika-Bold" w:hAnsi="Garamond" w:cs="Arial"/>
          <w:bCs/>
          <w:color w:val="002060"/>
          <w:sz w:val="24"/>
          <w:szCs w:val="24"/>
        </w:rPr>
        <w:softHyphen/>
        <w:t xml:space="preserve">dologias de gestão de riscos do </w:t>
      </w:r>
      <w:r w:rsidRPr="00FE57FC">
        <w:rPr>
          <w:rFonts w:ascii="Garamond" w:eastAsia="Klavika-Bold" w:hAnsi="Garamond" w:cs="Arial"/>
          <w:bCs/>
          <w:i/>
          <w:color w:val="002060"/>
          <w:sz w:val="24"/>
          <w:szCs w:val="24"/>
        </w:rPr>
        <w:t>Com</w:t>
      </w:r>
      <w:r w:rsidRPr="00FE57FC">
        <w:rPr>
          <w:rFonts w:ascii="Garamond" w:eastAsia="Klavika-Bold" w:hAnsi="Garamond" w:cs="Arial"/>
          <w:bCs/>
          <w:i/>
          <w:color w:val="002060"/>
          <w:sz w:val="24"/>
          <w:szCs w:val="24"/>
        </w:rPr>
        <w:softHyphen/>
        <w:t>mittee of Sponsoring Organizations of the Treadway Commission</w:t>
      </w:r>
      <w:r w:rsidRPr="00FE57FC">
        <w:rPr>
          <w:rFonts w:ascii="Garamond" w:eastAsia="Klavika-Bold" w:hAnsi="Garamond" w:cs="Arial"/>
          <w:bCs/>
          <w:color w:val="002060"/>
          <w:sz w:val="24"/>
          <w:szCs w:val="24"/>
        </w:rPr>
        <w:t xml:space="preserve"> (COSO) e da ISO 31000 da Associação Brasileira de Normas Técnicas (ABNT)</w:t>
      </w:r>
      <w:r w:rsidR="001E1A4E" w:rsidRPr="00FE57FC">
        <w:rPr>
          <w:rFonts w:ascii="Garamond" w:eastAsia="Klavika-Bold" w:hAnsi="Garamond" w:cs="Arial"/>
          <w:bCs/>
          <w:color w:val="002060"/>
          <w:sz w:val="24"/>
          <w:szCs w:val="24"/>
        </w:rPr>
        <w:t>. Estas metodologias são a base para a Política de Gestão de Riscos e Controles Internos da ABGF</w:t>
      </w:r>
      <w:r w:rsidR="005E3705" w:rsidRPr="00FE57FC">
        <w:rPr>
          <w:rFonts w:ascii="Garamond" w:eastAsia="Klavika-Bold" w:hAnsi="Garamond" w:cs="Arial"/>
          <w:bCs/>
          <w:color w:val="002060"/>
          <w:sz w:val="24"/>
          <w:szCs w:val="24"/>
        </w:rPr>
        <w:t>,</w:t>
      </w:r>
      <w:r w:rsidR="001E1A4E" w:rsidRPr="00FE57FC">
        <w:rPr>
          <w:rFonts w:ascii="Garamond" w:eastAsia="Klavika-Bold" w:hAnsi="Garamond" w:cs="Arial"/>
          <w:bCs/>
          <w:color w:val="002060"/>
          <w:sz w:val="24"/>
          <w:szCs w:val="24"/>
        </w:rPr>
        <w:t xml:space="preserve"> que estabelece as diretrizes e responsabilidades a serem observadas para todas as instâncias da Empresa, na gestão dos riscos incorridos, bem como assegurar um ambiente interno de conformidade e controles.</w:t>
      </w:r>
    </w:p>
    <w:p w14:paraId="37F31F76" w14:textId="77777777" w:rsidR="0059067E" w:rsidRPr="00FE57FC" w:rsidRDefault="0059067E" w:rsidP="007E59CF">
      <w:pPr>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lastRenderedPageBreak/>
        <w:t>A estrutura de gerenciamento de ris</w:t>
      </w:r>
      <w:r w:rsidRPr="00FE57FC">
        <w:rPr>
          <w:rFonts w:ascii="Garamond" w:eastAsia="Klavika-Bold" w:hAnsi="Garamond" w:cs="Arial"/>
          <w:bCs/>
          <w:color w:val="002060"/>
          <w:sz w:val="24"/>
          <w:szCs w:val="24"/>
        </w:rPr>
        <w:softHyphen/>
        <w:t>cos da ABGF é composta pelos se</w:t>
      </w:r>
      <w:r w:rsidRPr="00FE57FC">
        <w:rPr>
          <w:rFonts w:ascii="Garamond" w:eastAsia="Klavika-Bold" w:hAnsi="Garamond" w:cs="Arial"/>
          <w:bCs/>
          <w:color w:val="002060"/>
          <w:sz w:val="24"/>
          <w:szCs w:val="24"/>
        </w:rPr>
        <w:softHyphen/>
        <w:t>guintes elementos: ambiente interno, fixação de objetivos, identificação de eventos, avaliação de riscos, resposta a riscos, atividades de conformidade e controles internos, informação, co</w:t>
      </w:r>
      <w:r w:rsidRPr="00FE57FC">
        <w:rPr>
          <w:rFonts w:ascii="Garamond" w:eastAsia="Klavika-Bold" w:hAnsi="Garamond" w:cs="Arial"/>
          <w:bCs/>
          <w:color w:val="002060"/>
          <w:sz w:val="24"/>
          <w:szCs w:val="24"/>
        </w:rPr>
        <w:softHyphen/>
        <w:t>municação, e, por fim, monitoramen</w:t>
      </w:r>
      <w:r w:rsidRPr="00FE57FC">
        <w:rPr>
          <w:rFonts w:ascii="Garamond" w:eastAsia="Klavika-Bold" w:hAnsi="Garamond" w:cs="Arial"/>
          <w:bCs/>
          <w:color w:val="002060"/>
          <w:sz w:val="24"/>
          <w:szCs w:val="24"/>
        </w:rPr>
        <w:softHyphen/>
        <w:t xml:space="preserve">to. </w:t>
      </w:r>
    </w:p>
    <w:p w14:paraId="050AD4ED" w14:textId="77777777" w:rsidR="0059067E" w:rsidRPr="00FE57FC" w:rsidRDefault="0059067E" w:rsidP="0059067E">
      <w:pPr>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Para tanto, foi definido um glossá</w:t>
      </w:r>
      <w:r w:rsidRPr="00FE57FC">
        <w:rPr>
          <w:rFonts w:ascii="Garamond" w:eastAsia="Klavika-Bold" w:hAnsi="Garamond" w:cs="Arial"/>
          <w:bCs/>
          <w:color w:val="002060"/>
          <w:sz w:val="24"/>
          <w:szCs w:val="24"/>
        </w:rPr>
        <w:softHyphen/>
        <w:t>rio de riscos como apoio de referên</w:t>
      </w:r>
      <w:r w:rsidRPr="00FE57FC">
        <w:rPr>
          <w:rFonts w:ascii="Garamond" w:eastAsia="Klavika-Bold" w:hAnsi="Garamond" w:cs="Arial"/>
          <w:bCs/>
          <w:color w:val="002060"/>
          <w:sz w:val="24"/>
          <w:szCs w:val="24"/>
        </w:rPr>
        <w:softHyphen/>
        <w:t xml:space="preserve">cia nos levantamentos dos riscos da ABGF, explicitando os pilares de riscos que a empresa está exposta. Esses pilares reúnem os </w:t>
      </w:r>
      <w:r w:rsidR="00811BEA" w:rsidRPr="00FE57FC">
        <w:rPr>
          <w:rFonts w:ascii="Garamond" w:eastAsia="Klavika-Bold" w:hAnsi="Garamond" w:cs="Arial"/>
          <w:bCs/>
          <w:color w:val="002060"/>
          <w:sz w:val="24"/>
          <w:szCs w:val="24"/>
        </w:rPr>
        <w:t xml:space="preserve">oito </w:t>
      </w:r>
      <w:r w:rsidRPr="00FE57FC">
        <w:rPr>
          <w:rFonts w:ascii="Garamond" w:eastAsia="Klavika-Bold" w:hAnsi="Garamond" w:cs="Arial"/>
          <w:bCs/>
          <w:color w:val="002060"/>
          <w:sz w:val="24"/>
          <w:szCs w:val="24"/>
        </w:rPr>
        <w:t>principais agrupamentos de riscos: estratégico, operacional, Imagem/Reputação, Le</w:t>
      </w:r>
      <w:r w:rsidRPr="00FE57FC">
        <w:rPr>
          <w:rFonts w:ascii="Garamond" w:eastAsia="Klavika-Bold" w:hAnsi="Garamond" w:cs="Arial"/>
          <w:bCs/>
          <w:color w:val="002060"/>
          <w:sz w:val="24"/>
          <w:szCs w:val="24"/>
        </w:rPr>
        <w:softHyphen/>
        <w:t xml:space="preserve">gal, Subscrição, Mercado, Crédito e </w:t>
      </w:r>
      <w:r w:rsidR="002710DB" w:rsidRPr="00FE57FC">
        <w:rPr>
          <w:rFonts w:ascii="Garamond" w:eastAsia="Klavika-Bold" w:hAnsi="Garamond" w:cs="Arial"/>
          <w:bCs/>
          <w:color w:val="002060"/>
          <w:sz w:val="24"/>
          <w:szCs w:val="24"/>
        </w:rPr>
        <w:t>Liquidez.</w:t>
      </w:r>
      <w:r w:rsidRPr="00FE57FC">
        <w:rPr>
          <w:rFonts w:ascii="Garamond" w:eastAsia="Klavika-Bold" w:hAnsi="Garamond" w:cs="Arial"/>
          <w:bCs/>
          <w:color w:val="002060"/>
          <w:sz w:val="24"/>
          <w:szCs w:val="24"/>
        </w:rPr>
        <w:t xml:space="preserve"> Esses pilares e as </w:t>
      </w:r>
      <w:r w:rsidR="00BA70A7" w:rsidRPr="00FE57FC">
        <w:rPr>
          <w:rFonts w:ascii="Garamond" w:eastAsia="Klavika-Bold" w:hAnsi="Garamond" w:cs="Arial"/>
          <w:bCs/>
          <w:color w:val="002060"/>
          <w:sz w:val="24"/>
          <w:szCs w:val="24"/>
        </w:rPr>
        <w:t xml:space="preserve">respectivas </w:t>
      </w:r>
      <w:r w:rsidRPr="00FE57FC">
        <w:rPr>
          <w:rFonts w:ascii="Garamond" w:eastAsia="Klavika-Bold" w:hAnsi="Garamond" w:cs="Arial"/>
          <w:bCs/>
          <w:color w:val="002060"/>
          <w:sz w:val="24"/>
          <w:szCs w:val="24"/>
        </w:rPr>
        <w:t xml:space="preserve">ações de mitigação </w:t>
      </w:r>
      <w:r w:rsidR="00BA70A7" w:rsidRPr="00FE57FC">
        <w:rPr>
          <w:rFonts w:ascii="Garamond" w:eastAsia="Klavika-Bold" w:hAnsi="Garamond" w:cs="Arial"/>
          <w:bCs/>
          <w:color w:val="002060"/>
          <w:sz w:val="24"/>
          <w:szCs w:val="24"/>
        </w:rPr>
        <w:t xml:space="preserve">estão </w:t>
      </w:r>
      <w:r w:rsidRPr="00FE57FC">
        <w:rPr>
          <w:rFonts w:ascii="Garamond" w:eastAsia="Klavika-Bold" w:hAnsi="Garamond" w:cs="Arial"/>
          <w:bCs/>
          <w:color w:val="002060"/>
          <w:sz w:val="24"/>
          <w:szCs w:val="24"/>
        </w:rPr>
        <w:t xml:space="preserve">detalhadas </w:t>
      </w:r>
      <w:r w:rsidR="00982C65" w:rsidRPr="00FE57FC">
        <w:rPr>
          <w:rFonts w:ascii="Garamond" w:eastAsia="Klavika-Bold" w:hAnsi="Garamond" w:cs="Arial"/>
          <w:bCs/>
          <w:color w:val="002060"/>
          <w:sz w:val="24"/>
          <w:szCs w:val="24"/>
        </w:rPr>
        <w:t xml:space="preserve">no quadro </w:t>
      </w:r>
      <w:r w:rsidR="00BA70A7" w:rsidRPr="00FE57FC">
        <w:rPr>
          <w:rFonts w:ascii="Garamond" w:eastAsia="Klavika-Bold" w:hAnsi="Garamond" w:cs="Arial"/>
          <w:bCs/>
          <w:color w:val="002060"/>
          <w:sz w:val="24"/>
          <w:szCs w:val="24"/>
        </w:rPr>
        <w:t>a seguir</w:t>
      </w:r>
      <w:r w:rsidRPr="00FE57FC">
        <w:rPr>
          <w:rFonts w:ascii="Garamond" w:eastAsia="Klavika-Bold" w:hAnsi="Garamond" w:cs="Arial"/>
          <w:bCs/>
          <w:color w:val="002060"/>
          <w:sz w:val="24"/>
          <w:szCs w:val="24"/>
        </w:rPr>
        <w:t xml:space="preserve">: </w:t>
      </w:r>
      <w:r w:rsidR="002710DB" w:rsidRPr="00FE57FC">
        <w:rPr>
          <w:rFonts w:ascii="Garamond" w:eastAsia="Klavika-Bold" w:hAnsi="Garamond" w:cs="Arial"/>
          <w:bCs/>
          <w:color w:val="002060"/>
          <w:sz w:val="24"/>
          <w:szCs w:val="24"/>
        </w:rPr>
        <w:t xml:space="preserve">                   </w:t>
      </w:r>
    </w:p>
    <w:tbl>
      <w:tblPr>
        <w:tblStyle w:val="Tabelacomgrade"/>
        <w:tblW w:w="5000" w:type="pct"/>
        <w:tblBorders>
          <w:top w:val="double" w:sz="6" w:space="0" w:color="002060"/>
          <w:left w:val="double" w:sz="6" w:space="0" w:color="002060"/>
          <w:bottom w:val="double" w:sz="6" w:space="0" w:color="002060"/>
          <w:right w:val="double" w:sz="6" w:space="0" w:color="002060"/>
          <w:insideH w:val="double" w:sz="6" w:space="0" w:color="002060"/>
          <w:insideV w:val="double" w:sz="6" w:space="0" w:color="002060"/>
        </w:tblBorders>
        <w:tblLook w:val="04A0" w:firstRow="1" w:lastRow="0" w:firstColumn="1" w:lastColumn="0" w:noHBand="0" w:noVBand="1"/>
      </w:tblPr>
      <w:tblGrid>
        <w:gridCol w:w="523"/>
        <w:gridCol w:w="3180"/>
        <w:gridCol w:w="4755"/>
      </w:tblGrid>
      <w:tr w:rsidR="00FE57FC" w:rsidRPr="00FE57FC" w14:paraId="0E81EADB" w14:textId="77777777" w:rsidTr="009239B4">
        <w:trPr>
          <w:trHeight w:val="451"/>
        </w:trPr>
        <w:tc>
          <w:tcPr>
            <w:tcW w:w="309" w:type="pct"/>
            <w:shd w:val="clear" w:color="auto" w:fill="002060"/>
            <w:vAlign w:val="center"/>
          </w:tcPr>
          <w:p w14:paraId="0B974086" w14:textId="77777777" w:rsidR="007011B4" w:rsidRPr="00FE57FC" w:rsidRDefault="007011B4" w:rsidP="001E1A4E">
            <w:pPr>
              <w:rPr>
                <w:rFonts w:ascii="Garamond" w:eastAsia="Klavika-Bold" w:hAnsi="Garamond" w:cstheme="minorHAnsi"/>
                <w:b/>
                <w:bCs/>
                <w:color w:val="002060"/>
              </w:rPr>
            </w:pPr>
          </w:p>
        </w:tc>
        <w:tc>
          <w:tcPr>
            <w:tcW w:w="1880" w:type="pct"/>
            <w:shd w:val="clear" w:color="auto" w:fill="002060"/>
            <w:vAlign w:val="center"/>
          </w:tcPr>
          <w:p w14:paraId="4492FF8A" w14:textId="77777777" w:rsidR="007011B4" w:rsidRPr="00FE57FC" w:rsidRDefault="007011B4" w:rsidP="001E1A4E">
            <w:pPr>
              <w:jc w:val="center"/>
              <w:rPr>
                <w:rFonts w:ascii="Garamond" w:eastAsia="Klavika-Bold" w:hAnsi="Garamond" w:cstheme="minorHAnsi"/>
                <w:b/>
                <w:bCs/>
                <w:color w:val="FFFFFF" w:themeColor="background1"/>
              </w:rPr>
            </w:pPr>
            <w:r w:rsidRPr="00FE57FC">
              <w:rPr>
                <w:rFonts w:ascii="Garamond" w:eastAsia="Klavika-Bold" w:hAnsi="Garamond" w:cstheme="minorHAnsi"/>
                <w:b/>
                <w:bCs/>
                <w:color w:val="FFFFFF" w:themeColor="background1"/>
              </w:rPr>
              <w:t>Principais Riscos</w:t>
            </w:r>
          </w:p>
        </w:tc>
        <w:tc>
          <w:tcPr>
            <w:tcW w:w="2811" w:type="pct"/>
            <w:shd w:val="clear" w:color="auto" w:fill="002060"/>
            <w:vAlign w:val="center"/>
          </w:tcPr>
          <w:p w14:paraId="56622713" w14:textId="77777777" w:rsidR="007011B4" w:rsidRPr="00FE57FC" w:rsidRDefault="007011B4" w:rsidP="001E1A4E">
            <w:pPr>
              <w:jc w:val="center"/>
              <w:rPr>
                <w:rFonts w:ascii="Garamond" w:eastAsia="Klavika-Bold" w:hAnsi="Garamond" w:cstheme="minorHAnsi"/>
                <w:b/>
                <w:bCs/>
                <w:color w:val="FFFFFF" w:themeColor="background1"/>
              </w:rPr>
            </w:pPr>
            <w:r w:rsidRPr="00FE57FC">
              <w:rPr>
                <w:rFonts w:ascii="Garamond" w:eastAsia="Klavika-Bold" w:hAnsi="Garamond" w:cstheme="minorHAnsi"/>
                <w:b/>
                <w:bCs/>
                <w:color w:val="FFFFFF" w:themeColor="background1"/>
              </w:rPr>
              <w:t>Mitigadores</w:t>
            </w:r>
          </w:p>
        </w:tc>
      </w:tr>
      <w:tr w:rsidR="00FE57FC" w:rsidRPr="00FE57FC" w14:paraId="59917655" w14:textId="77777777" w:rsidTr="009239B4">
        <w:trPr>
          <w:cantSplit/>
          <w:trHeight w:val="2085"/>
        </w:trPr>
        <w:tc>
          <w:tcPr>
            <w:tcW w:w="309" w:type="pct"/>
            <w:shd w:val="clear" w:color="auto" w:fill="002060"/>
            <w:textDirection w:val="btLr"/>
            <w:vAlign w:val="center"/>
          </w:tcPr>
          <w:p w14:paraId="291B9D11" w14:textId="77777777" w:rsidR="007011B4" w:rsidRPr="00FE57FC" w:rsidRDefault="007011B4" w:rsidP="001E1A4E">
            <w:pPr>
              <w:jc w:val="center"/>
              <w:rPr>
                <w:rFonts w:ascii="Garamond" w:eastAsia="Klavika-Bold" w:hAnsi="Garamond" w:cstheme="minorHAnsi"/>
                <w:b/>
                <w:bCs/>
                <w:color w:val="FFFFFF" w:themeColor="background1"/>
              </w:rPr>
            </w:pPr>
            <w:r w:rsidRPr="00FE57FC">
              <w:rPr>
                <w:rFonts w:ascii="Garamond" w:eastAsia="Klavika-Bold" w:hAnsi="Garamond" w:cstheme="minorHAnsi"/>
                <w:b/>
                <w:bCs/>
                <w:color w:val="FFFFFF" w:themeColor="background1"/>
              </w:rPr>
              <w:t>Estratégico</w:t>
            </w:r>
          </w:p>
        </w:tc>
        <w:tc>
          <w:tcPr>
            <w:tcW w:w="1880" w:type="pct"/>
            <w:shd w:val="clear" w:color="auto" w:fill="DAEEF3" w:themeFill="accent5" w:themeFillTint="33"/>
            <w:vAlign w:val="center"/>
          </w:tcPr>
          <w:p w14:paraId="23654FEC" w14:textId="77777777" w:rsidR="007011B4" w:rsidRPr="00FE57FC" w:rsidRDefault="007011B4" w:rsidP="001E1A4E">
            <w:pPr>
              <w:rPr>
                <w:rFonts w:ascii="Garamond" w:eastAsia="Klavika-Bold" w:hAnsi="Garamond" w:cstheme="minorHAnsi"/>
                <w:bCs/>
                <w:color w:val="002060"/>
              </w:rPr>
            </w:pPr>
            <w:r w:rsidRPr="00FE57FC">
              <w:rPr>
                <w:rFonts w:ascii="Garamond" w:eastAsia="Klavika-Bold" w:hAnsi="Garamond" w:cstheme="minorHAnsi"/>
                <w:bCs/>
                <w:color w:val="002060"/>
              </w:rPr>
              <w:t>Perdas resultante</w:t>
            </w:r>
            <w:r w:rsidR="00BA70A7" w:rsidRPr="00FE57FC">
              <w:rPr>
                <w:rFonts w:ascii="Garamond" w:eastAsia="Klavika-Bold" w:hAnsi="Garamond" w:cstheme="minorHAnsi"/>
                <w:bCs/>
                <w:color w:val="002060"/>
              </w:rPr>
              <w:t>s</w:t>
            </w:r>
            <w:r w:rsidRPr="00FE57FC">
              <w:rPr>
                <w:rFonts w:ascii="Garamond" w:eastAsia="Klavika-Bold" w:hAnsi="Garamond" w:cstheme="minorHAnsi"/>
                <w:bCs/>
                <w:color w:val="002060"/>
              </w:rPr>
              <w:t xml:space="preserve"> de incerteza que afetam a realização das diretrizes estratégicas da Empresa, ou seja, do insucesso das estratégias adotadas, levando-se em conta a dinâmica dos negócios (concorrência, clientes, fornecedores e investimentos) e as alterações políticas e econômicas no País e fora dele</w:t>
            </w:r>
          </w:p>
        </w:tc>
        <w:tc>
          <w:tcPr>
            <w:tcW w:w="2811" w:type="pct"/>
            <w:shd w:val="clear" w:color="auto" w:fill="DAEEF3" w:themeFill="accent5" w:themeFillTint="33"/>
            <w:vAlign w:val="center"/>
          </w:tcPr>
          <w:p w14:paraId="00B7D3CD" w14:textId="77777777" w:rsidR="007011B4" w:rsidRPr="00FE57FC" w:rsidRDefault="007011B4"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Disseminar os objetivos estratégicos definidos no Planejamento Estratégico a todos os níveis da Empresa, bem como sua missão, visão e valores</w:t>
            </w:r>
            <w:r w:rsidR="00BA70A7" w:rsidRPr="00FE57FC">
              <w:rPr>
                <w:rFonts w:ascii="Garamond" w:eastAsia="Klavika-Bold" w:hAnsi="Garamond" w:cstheme="minorHAnsi"/>
                <w:bCs/>
                <w:color w:val="002060"/>
              </w:rPr>
              <w:t>.</w:t>
            </w:r>
          </w:p>
          <w:p w14:paraId="27450264" w14:textId="77777777" w:rsidR="007011B4" w:rsidRPr="00FE57FC" w:rsidRDefault="007011B4"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Acompanhar e monitorar os indicadores de desempenho, a fim de cumprir os objetivos institucionais e metas estabelecidas</w:t>
            </w:r>
            <w:r w:rsidR="00BA70A7" w:rsidRPr="00FE57FC">
              <w:rPr>
                <w:rFonts w:ascii="Garamond" w:eastAsia="Klavika-Bold" w:hAnsi="Garamond" w:cstheme="minorHAnsi"/>
                <w:bCs/>
                <w:color w:val="002060"/>
              </w:rPr>
              <w:t>.</w:t>
            </w:r>
            <w:r w:rsidRPr="00FE57FC">
              <w:rPr>
                <w:rFonts w:ascii="Garamond" w:eastAsia="Klavika-Bold" w:hAnsi="Garamond" w:cstheme="minorHAnsi"/>
                <w:bCs/>
                <w:color w:val="002060"/>
              </w:rPr>
              <w:t xml:space="preserve"> </w:t>
            </w:r>
          </w:p>
          <w:p w14:paraId="1D798289" w14:textId="77777777" w:rsidR="007011B4" w:rsidRPr="00FE57FC" w:rsidRDefault="007011B4"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Fortalecer a cultura ética.</w:t>
            </w:r>
          </w:p>
        </w:tc>
      </w:tr>
      <w:tr w:rsidR="00FE57FC" w:rsidRPr="00FE57FC" w14:paraId="0CE0C7EF" w14:textId="77777777" w:rsidTr="009239B4">
        <w:trPr>
          <w:cantSplit/>
          <w:trHeight w:val="1085"/>
        </w:trPr>
        <w:tc>
          <w:tcPr>
            <w:tcW w:w="309" w:type="pct"/>
            <w:shd w:val="clear" w:color="auto" w:fill="002060"/>
            <w:textDirection w:val="btLr"/>
            <w:vAlign w:val="center"/>
          </w:tcPr>
          <w:p w14:paraId="3C7571AF" w14:textId="77777777" w:rsidR="005B1954" w:rsidRPr="00FE57FC" w:rsidRDefault="005B1954" w:rsidP="001E1A4E">
            <w:pPr>
              <w:jc w:val="center"/>
              <w:rPr>
                <w:rFonts w:ascii="Garamond" w:eastAsia="Klavika-Bold" w:hAnsi="Garamond" w:cstheme="minorHAnsi"/>
                <w:b/>
                <w:bCs/>
                <w:color w:val="FFFFFF" w:themeColor="background1"/>
              </w:rPr>
            </w:pPr>
            <w:r w:rsidRPr="00FE57FC">
              <w:rPr>
                <w:rFonts w:ascii="Garamond" w:eastAsia="Klavika-Bold" w:hAnsi="Garamond" w:cstheme="minorHAnsi"/>
                <w:b/>
                <w:bCs/>
                <w:color w:val="FFFFFF" w:themeColor="background1"/>
              </w:rPr>
              <w:t>Legal</w:t>
            </w:r>
          </w:p>
        </w:tc>
        <w:tc>
          <w:tcPr>
            <w:tcW w:w="1880" w:type="pct"/>
            <w:shd w:val="clear" w:color="auto" w:fill="DAEEF3" w:themeFill="accent5" w:themeFillTint="33"/>
            <w:vAlign w:val="center"/>
          </w:tcPr>
          <w:p w14:paraId="00971DCC" w14:textId="77777777" w:rsidR="005B1954" w:rsidRPr="00FE57FC" w:rsidRDefault="005B1954" w:rsidP="001E1A4E">
            <w:pPr>
              <w:rPr>
                <w:rFonts w:ascii="Garamond" w:eastAsia="Klavika-Bold" w:hAnsi="Garamond" w:cstheme="minorHAnsi"/>
                <w:bCs/>
                <w:color w:val="002060"/>
              </w:rPr>
            </w:pPr>
            <w:r w:rsidRPr="00FE57FC">
              <w:rPr>
                <w:rFonts w:ascii="Garamond" w:eastAsia="Klavika-Bold" w:hAnsi="Garamond" w:cstheme="minorHAnsi"/>
                <w:bCs/>
                <w:color w:val="002060"/>
              </w:rPr>
              <w:t xml:space="preserve">Perdas decorrente de atos de órgãos externos de supervisão e controle, bem como </w:t>
            </w:r>
            <w:r w:rsidR="00BA70A7" w:rsidRPr="00FE57FC">
              <w:rPr>
                <w:rFonts w:ascii="Garamond" w:eastAsia="Klavika-Bold" w:hAnsi="Garamond" w:cstheme="minorHAnsi"/>
                <w:bCs/>
                <w:color w:val="002060"/>
              </w:rPr>
              <w:t xml:space="preserve">de </w:t>
            </w:r>
            <w:r w:rsidRPr="00FE57FC">
              <w:rPr>
                <w:rFonts w:ascii="Garamond" w:eastAsia="Klavika-Bold" w:hAnsi="Garamond" w:cstheme="minorHAnsi"/>
                <w:bCs/>
                <w:color w:val="002060"/>
              </w:rPr>
              <w:t>decisão desfavorável em processos judiciais ou administrativos</w:t>
            </w:r>
          </w:p>
        </w:tc>
        <w:tc>
          <w:tcPr>
            <w:tcW w:w="2811" w:type="pct"/>
            <w:shd w:val="clear" w:color="auto" w:fill="DAEEF3" w:themeFill="accent5" w:themeFillTint="33"/>
            <w:vAlign w:val="center"/>
          </w:tcPr>
          <w:p w14:paraId="405EB8B5" w14:textId="77777777" w:rsidR="005B1954" w:rsidRPr="00FE57FC" w:rsidRDefault="005B1954"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Monitorar processos judiciais e administrativos de forma a identificar as probabilidades de perda, a fim de permitir a atuação tempestiva da Empresa.</w:t>
            </w:r>
          </w:p>
        </w:tc>
      </w:tr>
      <w:tr w:rsidR="00FE57FC" w:rsidRPr="00FE57FC" w14:paraId="78C2FC36" w14:textId="77777777" w:rsidTr="009239B4">
        <w:trPr>
          <w:cantSplit/>
          <w:trHeight w:val="1273"/>
        </w:trPr>
        <w:tc>
          <w:tcPr>
            <w:tcW w:w="309" w:type="pct"/>
            <w:shd w:val="clear" w:color="auto" w:fill="002060"/>
            <w:textDirection w:val="btLr"/>
            <w:vAlign w:val="center"/>
          </w:tcPr>
          <w:p w14:paraId="2662C20A" w14:textId="77777777" w:rsidR="005B1954" w:rsidRPr="00FE57FC" w:rsidRDefault="005B1954" w:rsidP="001E1A4E">
            <w:pPr>
              <w:jc w:val="center"/>
              <w:rPr>
                <w:rFonts w:ascii="Garamond" w:eastAsia="Klavika-Bold" w:hAnsi="Garamond" w:cstheme="minorHAnsi"/>
                <w:b/>
                <w:bCs/>
                <w:color w:val="FFFFFF" w:themeColor="background1"/>
              </w:rPr>
            </w:pPr>
            <w:r w:rsidRPr="00FE57FC">
              <w:rPr>
                <w:rFonts w:ascii="Garamond" w:eastAsia="Klavika-Bold" w:hAnsi="Garamond" w:cstheme="minorHAnsi"/>
                <w:b/>
                <w:bCs/>
                <w:color w:val="FFFFFF" w:themeColor="background1"/>
              </w:rPr>
              <w:t>Imagem</w:t>
            </w:r>
          </w:p>
        </w:tc>
        <w:tc>
          <w:tcPr>
            <w:tcW w:w="1880" w:type="pct"/>
            <w:shd w:val="clear" w:color="auto" w:fill="DAEEF3" w:themeFill="accent5" w:themeFillTint="33"/>
            <w:vAlign w:val="center"/>
          </w:tcPr>
          <w:p w14:paraId="35BAC589" w14:textId="77777777" w:rsidR="005B1954" w:rsidRPr="00FE57FC" w:rsidRDefault="005B1954" w:rsidP="001E1A4E">
            <w:pPr>
              <w:rPr>
                <w:rFonts w:ascii="Garamond" w:eastAsia="Klavika-Bold" w:hAnsi="Garamond" w:cstheme="minorHAnsi"/>
                <w:bCs/>
                <w:color w:val="002060"/>
              </w:rPr>
            </w:pPr>
            <w:r w:rsidRPr="00FE57FC">
              <w:rPr>
                <w:rFonts w:ascii="Garamond" w:eastAsia="Klavika-Bold" w:hAnsi="Garamond" w:cstheme="minorHAnsi"/>
                <w:bCs/>
                <w:color w:val="002060"/>
              </w:rPr>
              <w:t>Comprometimento da confiança dos clientes, parceiros, fornecedores e sociedade em relação à capacidade da ABGF em cumprir sua missão institucional</w:t>
            </w:r>
          </w:p>
        </w:tc>
        <w:tc>
          <w:tcPr>
            <w:tcW w:w="2811" w:type="pct"/>
            <w:shd w:val="clear" w:color="auto" w:fill="DAEEF3" w:themeFill="accent5" w:themeFillTint="33"/>
            <w:vAlign w:val="center"/>
          </w:tcPr>
          <w:p w14:paraId="5938F2AF" w14:textId="77777777" w:rsidR="005B1954" w:rsidRPr="00FE57FC" w:rsidRDefault="005B1954"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 xml:space="preserve">Avaliar e tratar as situações que possam afetar adversamente a sustentabilidade do negócio, com base na Política de Divulgação de Informações, de Relacionamento com a Imprensa e </w:t>
            </w:r>
            <w:r w:rsidR="00BA70A7" w:rsidRPr="00FE57FC">
              <w:rPr>
                <w:rFonts w:ascii="Garamond" w:eastAsia="Klavika-Bold" w:hAnsi="Garamond" w:cstheme="minorHAnsi"/>
                <w:bCs/>
                <w:color w:val="002060"/>
              </w:rPr>
              <w:t xml:space="preserve">de </w:t>
            </w:r>
            <w:r w:rsidRPr="00FE57FC">
              <w:rPr>
                <w:rFonts w:ascii="Garamond" w:eastAsia="Klavika-Bold" w:hAnsi="Garamond" w:cstheme="minorHAnsi"/>
                <w:bCs/>
                <w:color w:val="002060"/>
              </w:rPr>
              <w:t>Porta-Vozes.</w:t>
            </w:r>
          </w:p>
        </w:tc>
      </w:tr>
      <w:tr w:rsidR="00FE57FC" w:rsidRPr="00FE57FC" w14:paraId="7D62444C" w14:textId="77777777" w:rsidTr="009239B4">
        <w:trPr>
          <w:cantSplit/>
          <w:trHeight w:val="2032"/>
        </w:trPr>
        <w:tc>
          <w:tcPr>
            <w:tcW w:w="309" w:type="pct"/>
            <w:shd w:val="clear" w:color="auto" w:fill="002060"/>
            <w:textDirection w:val="btLr"/>
            <w:vAlign w:val="center"/>
          </w:tcPr>
          <w:p w14:paraId="6B529F3F" w14:textId="77777777" w:rsidR="005B1954" w:rsidRPr="00FE57FC" w:rsidRDefault="005B1954" w:rsidP="001E1A4E">
            <w:pPr>
              <w:jc w:val="center"/>
              <w:rPr>
                <w:rFonts w:ascii="Garamond" w:eastAsia="Klavika-Bold" w:hAnsi="Garamond" w:cstheme="minorHAnsi"/>
                <w:b/>
                <w:bCs/>
                <w:color w:val="FFFFFF" w:themeColor="background1"/>
              </w:rPr>
            </w:pPr>
            <w:r w:rsidRPr="00FE57FC">
              <w:rPr>
                <w:rFonts w:ascii="Garamond" w:eastAsia="Klavika-Bold" w:hAnsi="Garamond" w:cstheme="minorHAnsi"/>
                <w:b/>
                <w:bCs/>
                <w:color w:val="FFFFFF" w:themeColor="background1"/>
              </w:rPr>
              <w:t>Operacional</w:t>
            </w:r>
          </w:p>
        </w:tc>
        <w:tc>
          <w:tcPr>
            <w:tcW w:w="1880" w:type="pct"/>
            <w:shd w:val="clear" w:color="auto" w:fill="DAEEF3" w:themeFill="accent5" w:themeFillTint="33"/>
            <w:vAlign w:val="center"/>
          </w:tcPr>
          <w:p w14:paraId="5BB42900" w14:textId="77777777" w:rsidR="005B1954" w:rsidRPr="00FE57FC" w:rsidRDefault="005B1954" w:rsidP="001E1A4E">
            <w:pPr>
              <w:rPr>
                <w:rFonts w:ascii="Garamond" w:eastAsia="Klavika-Bold" w:hAnsi="Garamond" w:cstheme="minorHAnsi"/>
                <w:bCs/>
                <w:color w:val="002060"/>
              </w:rPr>
            </w:pPr>
            <w:r w:rsidRPr="00FE57FC">
              <w:rPr>
                <w:rFonts w:ascii="Garamond" w:eastAsia="Klavika-Bold" w:hAnsi="Garamond" w:cstheme="minorHAnsi"/>
                <w:bCs/>
                <w:color w:val="002060"/>
              </w:rPr>
              <w:t>Comprometimento das atividades da ABGF, normalmente associado a falhas, deficiência ou inadequação de processos internos, pessoas, infraestrutura e sistemas, bem como eventos relacionados a corrupção, fraudes, irregularidades e/ou desvios éticos e de conduta que podem comprometer os valores e padrões preconizados pela Empresa e a realização de seus objetivos</w:t>
            </w:r>
          </w:p>
        </w:tc>
        <w:tc>
          <w:tcPr>
            <w:tcW w:w="2811" w:type="pct"/>
            <w:shd w:val="clear" w:color="auto" w:fill="DAEEF3" w:themeFill="accent5" w:themeFillTint="33"/>
            <w:vAlign w:val="center"/>
          </w:tcPr>
          <w:p w14:paraId="2995BB3F" w14:textId="77777777" w:rsidR="005B1954" w:rsidRPr="00FE57FC" w:rsidRDefault="005B1954"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Identificar, avaliar, tratar e monitorar periodicamente os riscos operacionais da Empresa utilizando metodologia própria, definida de acordo com as melhores práticas em gestão de riscos e controles internos.</w:t>
            </w:r>
          </w:p>
          <w:p w14:paraId="703D15FB" w14:textId="77777777" w:rsidR="005B1954" w:rsidRPr="00FE57FC" w:rsidRDefault="005B1954"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Observar, na identificação e análise do risco operacional, as perspectivas de exposição a riscos relacionados à corrupção, lavagem de dinheiro, segurança da informação, conformidade, fraude e continuidade de negócios.</w:t>
            </w:r>
          </w:p>
          <w:p w14:paraId="728143EE" w14:textId="77777777" w:rsidR="005B1954" w:rsidRPr="00FE57FC" w:rsidRDefault="005B1954"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Observar o disposto nas Políticas Institucionais</w:t>
            </w:r>
          </w:p>
          <w:p w14:paraId="6417E424" w14:textId="77777777" w:rsidR="005B1954" w:rsidRPr="00FE57FC" w:rsidRDefault="005B1954"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Avaliar os riscos operacionais a fim de assegurar a confiabilidade, a conformidade, a integridade, o exercício de alçadas decisórias, a disponibilidade das informações e dos processos da ABGF.</w:t>
            </w:r>
          </w:p>
          <w:p w14:paraId="03981B77" w14:textId="77777777" w:rsidR="005B1954" w:rsidRPr="00FE57FC" w:rsidRDefault="005B1954"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 xml:space="preserve">Estabelecer controles proporcionais ao risco, observada a relação custo-benefício e destinados a </w:t>
            </w:r>
            <w:r w:rsidR="00BA70A7" w:rsidRPr="00FE57FC">
              <w:rPr>
                <w:rFonts w:ascii="Garamond" w:eastAsia="Klavika-Bold" w:hAnsi="Garamond" w:cstheme="minorHAnsi"/>
                <w:bCs/>
                <w:color w:val="002060"/>
              </w:rPr>
              <w:t xml:space="preserve">agregar </w:t>
            </w:r>
            <w:r w:rsidRPr="00FE57FC">
              <w:rPr>
                <w:rFonts w:ascii="Garamond" w:eastAsia="Klavika-Bold" w:hAnsi="Garamond" w:cstheme="minorHAnsi"/>
                <w:bCs/>
                <w:color w:val="002060"/>
              </w:rPr>
              <w:t>valor à ABGF.</w:t>
            </w:r>
          </w:p>
        </w:tc>
      </w:tr>
    </w:tbl>
    <w:p w14:paraId="365DE96D" w14:textId="29F51E1B" w:rsidR="00FE57FC" w:rsidRDefault="00FE57FC"/>
    <w:tbl>
      <w:tblPr>
        <w:tblStyle w:val="Tabelacomgrade"/>
        <w:tblW w:w="5000" w:type="pct"/>
        <w:tblBorders>
          <w:top w:val="double" w:sz="6" w:space="0" w:color="002060"/>
          <w:left w:val="double" w:sz="6" w:space="0" w:color="002060"/>
          <w:bottom w:val="double" w:sz="6" w:space="0" w:color="002060"/>
          <w:right w:val="double" w:sz="6" w:space="0" w:color="002060"/>
          <w:insideH w:val="double" w:sz="6" w:space="0" w:color="002060"/>
          <w:insideV w:val="double" w:sz="6" w:space="0" w:color="002060"/>
        </w:tblBorders>
        <w:tblLook w:val="04A0" w:firstRow="1" w:lastRow="0" w:firstColumn="1" w:lastColumn="0" w:noHBand="0" w:noVBand="1"/>
      </w:tblPr>
      <w:tblGrid>
        <w:gridCol w:w="523"/>
        <w:gridCol w:w="3180"/>
        <w:gridCol w:w="4755"/>
      </w:tblGrid>
      <w:tr w:rsidR="00FE57FC" w:rsidRPr="00FE57FC" w14:paraId="5D8AF174" w14:textId="77777777" w:rsidTr="00FE57FC">
        <w:trPr>
          <w:cantSplit/>
          <w:trHeight w:val="454"/>
        </w:trPr>
        <w:tc>
          <w:tcPr>
            <w:tcW w:w="309" w:type="pct"/>
            <w:shd w:val="clear" w:color="auto" w:fill="002060"/>
            <w:textDirection w:val="btLr"/>
            <w:vAlign w:val="center"/>
          </w:tcPr>
          <w:p w14:paraId="00388F3D" w14:textId="77777777" w:rsidR="00FE57FC" w:rsidRPr="00FE57FC" w:rsidRDefault="00FE57FC" w:rsidP="00FE57FC">
            <w:pPr>
              <w:jc w:val="center"/>
              <w:rPr>
                <w:rFonts w:ascii="Garamond" w:eastAsia="Klavika-Bold" w:hAnsi="Garamond" w:cstheme="minorHAnsi"/>
                <w:b/>
                <w:bCs/>
                <w:color w:val="FFFFFF" w:themeColor="background1"/>
              </w:rPr>
            </w:pPr>
          </w:p>
        </w:tc>
        <w:tc>
          <w:tcPr>
            <w:tcW w:w="1880" w:type="pct"/>
            <w:shd w:val="clear" w:color="auto" w:fill="002060"/>
            <w:vAlign w:val="center"/>
          </w:tcPr>
          <w:p w14:paraId="14DBCB2A" w14:textId="520C5916" w:rsidR="00FE57FC" w:rsidRPr="00FE57FC" w:rsidRDefault="00FE57FC" w:rsidP="00FE57FC">
            <w:pPr>
              <w:jc w:val="center"/>
              <w:rPr>
                <w:rFonts w:ascii="Garamond" w:eastAsia="Klavika-Bold" w:hAnsi="Garamond" w:cstheme="minorHAnsi"/>
                <w:b/>
                <w:bCs/>
                <w:color w:val="FFFFFF" w:themeColor="background1"/>
              </w:rPr>
            </w:pPr>
            <w:r w:rsidRPr="00FE57FC">
              <w:rPr>
                <w:rFonts w:ascii="Garamond" w:eastAsia="Klavika-Bold" w:hAnsi="Garamond" w:cstheme="minorHAnsi"/>
                <w:b/>
                <w:bCs/>
                <w:color w:val="FFFFFF" w:themeColor="background1"/>
              </w:rPr>
              <w:t>Principais Riscos</w:t>
            </w:r>
          </w:p>
        </w:tc>
        <w:tc>
          <w:tcPr>
            <w:tcW w:w="2811" w:type="pct"/>
            <w:shd w:val="clear" w:color="auto" w:fill="002060"/>
            <w:vAlign w:val="center"/>
          </w:tcPr>
          <w:p w14:paraId="4F0DBFFB" w14:textId="3EC28672" w:rsidR="00FE57FC" w:rsidRPr="00FE57FC" w:rsidRDefault="00FE57FC" w:rsidP="00FE57FC">
            <w:pPr>
              <w:jc w:val="center"/>
              <w:rPr>
                <w:rFonts w:ascii="Garamond" w:eastAsia="Klavika-Bold" w:hAnsi="Garamond" w:cstheme="minorHAnsi"/>
                <w:b/>
                <w:bCs/>
                <w:color w:val="FFFFFF" w:themeColor="background1"/>
              </w:rPr>
            </w:pPr>
            <w:r w:rsidRPr="00FE57FC">
              <w:rPr>
                <w:rFonts w:ascii="Garamond" w:eastAsia="Klavika-Bold" w:hAnsi="Garamond" w:cstheme="minorHAnsi"/>
                <w:b/>
                <w:bCs/>
                <w:color w:val="FFFFFF" w:themeColor="background1"/>
              </w:rPr>
              <w:t>Mitigadores</w:t>
            </w:r>
          </w:p>
        </w:tc>
      </w:tr>
      <w:tr w:rsidR="00FE57FC" w:rsidRPr="00FE57FC" w14:paraId="1F5C184A" w14:textId="77777777" w:rsidTr="009239B4">
        <w:trPr>
          <w:cantSplit/>
          <w:trHeight w:val="2374"/>
        </w:trPr>
        <w:tc>
          <w:tcPr>
            <w:tcW w:w="309" w:type="pct"/>
            <w:shd w:val="clear" w:color="auto" w:fill="002060"/>
            <w:textDirection w:val="btLr"/>
            <w:vAlign w:val="center"/>
          </w:tcPr>
          <w:p w14:paraId="3DE30DEC" w14:textId="77777777" w:rsidR="009F6F06" w:rsidRPr="00FE57FC" w:rsidRDefault="009F6F06" w:rsidP="001E1A4E">
            <w:pPr>
              <w:jc w:val="center"/>
              <w:rPr>
                <w:rFonts w:ascii="Garamond" w:eastAsia="Klavika-Bold" w:hAnsi="Garamond" w:cstheme="minorHAnsi"/>
                <w:b/>
                <w:bCs/>
                <w:color w:val="FFFFFF" w:themeColor="background1"/>
              </w:rPr>
            </w:pPr>
            <w:r w:rsidRPr="00FE57FC">
              <w:rPr>
                <w:rFonts w:ascii="Garamond" w:eastAsia="Klavika-Bold" w:hAnsi="Garamond" w:cstheme="minorHAnsi"/>
                <w:b/>
                <w:bCs/>
                <w:color w:val="FFFFFF" w:themeColor="background1"/>
              </w:rPr>
              <w:t>Liquidez</w:t>
            </w:r>
          </w:p>
        </w:tc>
        <w:tc>
          <w:tcPr>
            <w:tcW w:w="1880" w:type="pct"/>
            <w:shd w:val="clear" w:color="auto" w:fill="DAEEF3" w:themeFill="accent5" w:themeFillTint="33"/>
            <w:vAlign w:val="center"/>
          </w:tcPr>
          <w:p w14:paraId="4A99E961" w14:textId="77777777" w:rsidR="009F6F06" w:rsidRPr="00FE57FC" w:rsidRDefault="009F6F06" w:rsidP="001E1A4E">
            <w:pPr>
              <w:rPr>
                <w:rFonts w:ascii="Garamond" w:eastAsia="Klavika-Bold" w:hAnsi="Garamond" w:cstheme="minorHAnsi"/>
                <w:bCs/>
                <w:color w:val="002060"/>
              </w:rPr>
            </w:pPr>
            <w:r w:rsidRPr="00FE57FC">
              <w:rPr>
                <w:rFonts w:ascii="Garamond" w:eastAsia="Klavika-Bold" w:hAnsi="Garamond" w:cstheme="minorHAnsi"/>
                <w:bCs/>
                <w:color w:val="002060"/>
              </w:rPr>
              <w:t>Perda resultante do descasamento entre a entrada de recursos (recebimento de prêmios, recuperações e prestações de serviço) para atender às exigências de caixa que impactem o cumprimento de obrigações/compromissos programados, levando em consideração as diferentes moedas e prazos de liquidação de seus direitos e obrigações</w:t>
            </w:r>
          </w:p>
        </w:tc>
        <w:tc>
          <w:tcPr>
            <w:tcW w:w="2811" w:type="pct"/>
            <w:shd w:val="clear" w:color="auto" w:fill="DAEEF3" w:themeFill="accent5" w:themeFillTint="33"/>
            <w:vAlign w:val="center"/>
          </w:tcPr>
          <w:p w14:paraId="0D9B157E" w14:textId="77777777" w:rsidR="009F6F06" w:rsidRPr="00FE57FC" w:rsidRDefault="009F6F06"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Observar o disposto na Política de Gestão de Caixa e Investimentos.</w:t>
            </w:r>
          </w:p>
          <w:p w14:paraId="119441CB" w14:textId="77777777" w:rsidR="009F6F06" w:rsidRPr="00FE57FC" w:rsidRDefault="009F6F06"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Monitorar o volume de capital disponível para que o mesmo seja suficiente para saldar seus compromissos, sejam para despesas operacionais ou para a cobertura das reservas relacionadas aos riscos do negócio.</w:t>
            </w:r>
          </w:p>
          <w:p w14:paraId="7FACB301" w14:textId="77777777" w:rsidR="009F6F06" w:rsidRPr="00FE57FC" w:rsidRDefault="009F6F06"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Manter os níveis de ativos com alto grau de conversibilidade em espécie compatível com a necessidade de cobertura de passivos e outras destinações previstas para o curto prazo.</w:t>
            </w:r>
          </w:p>
        </w:tc>
      </w:tr>
      <w:tr w:rsidR="00FE57FC" w:rsidRPr="00FE57FC" w14:paraId="0C683C7D" w14:textId="77777777" w:rsidTr="009239B4">
        <w:trPr>
          <w:cantSplit/>
          <w:trHeight w:val="1104"/>
        </w:trPr>
        <w:tc>
          <w:tcPr>
            <w:tcW w:w="309" w:type="pct"/>
            <w:shd w:val="clear" w:color="auto" w:fill="002060"/>
            <w:textDirection w:val="btLr"/>
            <w:vAlign w:val="center"/>
          </w:tcPr>
          <w:p w14:paraId="2B1C8A27" w14:textId="77777777" w:rsidR="009F6F06" w:rsidRPr="00FE57FC" w:rsidRDefault="009F6F06" w:rsidP="001E1A4E">
            <w:pPr>
              <w:jc w:val="center"/>
              <w:rPr>
                <w:rFonts w:ascii="Garamond" w:eastAsia="Klavika-Bold" w:hAnsi="Garamond" w:cstheme="minorHAnsi"/>
                <w:b/>
                <w:bCs/>
                <w:color w:val="FFFFFF" w:themeColor="background1"/>
              </w:rPr>
            </w:pPr>
            <w:r w:rsidRPr="00FE57FC">
              <w:rPr>
                <w:rFonts w:ascii="Garamond" w:eastAsia="Klavika-Bold" w:hAnsi="Garamond" w:cstheme="minorHAnsi"/>
                <w:b/>
                <w:bCs/>
                <w:color w:val="FFFFFF" w:themeColor="background1"/>
              </w:rPr>
              <w:t>Crédito</w:t>
            </w:r>
          </w:p>
        </w:tc>
        <w:tc>
          <w:tcPr>
            <w:tcW w:w="1880" w:type="pct"/>
            <w:shd w:val="clear" w:color="auto" w:fill="DAEEF3" w:themeFill="accent5" w:themeFillTint="33"/>
            <w:vAlign w:val="center"/>
          </w:tcPr>
          <w:p w14:paraId="00ECC7A6" w14:textId="77777777" w:rsidR="009F6F06" w:rsidRPr="00FE57FC" w:rsidRDefault="009F6F06" w:rsidP="001E1A4E">
            <w:pPr>
              <w:autoSpaceDE w:val="0"/>
              <w:autoSpaceDN w:val="0"/>
              <w:adjustRightInd w:val="0"/>
              <w:rPr>
                <w:rFonts w:ascii="Garamond" w:eastAsia="Klavika-Bold" w:hAnsi="Garamond" w:cstheme="minorHAnsi"/>
                <w:bCs/>
                <w:color w:val="002060"/>
              </w:rPr>
            </w:pPr>
            <w:r w:rsidRPr="00FE57FC">
              <w:rPr>
                <w:rFonts w:ascii="Garamond" w:eastAsia="Klavika-Bold" w:hAnsi="Garamond" w:cstheme="minorHAnsi"/>
                <w:bCs/>
                <w:color w:val="002060"/>
              </w:rPr>
              <w:t>Perdas decorrentes de descumprimento, pelo tomador ou contrapartes, das suas obrigações financeiras nos termos pactuados.</w:t>
            </w:r>
          </w:p>
        </w:tc>
        <w:tc>
          <w:tcPr>
            <w:tcW w:w="2811" w:type="pct"/>
            <w:shd w:val="clear" w:color="auto" w:fill="DAEEF3" w:themeFill="accent5" w:themeFillTint="33"/>
            <w:vAlign w:val="center"/>
          </w:tcPr>
          <w:p w14:paraId="16B3D7BD" w14:textId="77777777" w:rsidR="009F6F06" w:rsidRPr="00FE57FC" w:rsidRDefault="009F6F06"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Adotar metodologias que permitam o monitoramento da classificação de risco de contrapartes, limites de exposição e de concentração, bem como a definição de critérios qualitativos e quantitativos a serem observados na concessão das garantias.</w:t>
            </w:r>
          </w:p>
        </w:tc>
      </w:tr>
      <w:tr w:rsidR="00FE57FC" w:rsidRPr="00FE57FC" w14:paraId="6E20DE65" w14:textId="77777777" w:rsidTr="009239B4">
        <w:trPr>
          <w:cantSplit/>
          <w:trHeight w:val="1262"/>
        </w:trPr>
        <w:tc>
          <w:tcPr>
            <w:tcW w:w="309" w:type="pct"/>
            <w:shd w:val="clear" w:color="auto" w:fill="002060"/>
            <w:textDirection w:val="btLr"/>
            <w:vAlign w:val="center"/>
          </w:tcPr>
          <w:p w14:paraId="15E549B0" w14:textId="77777777" w:rsidR="009F6F06" w:rsidRPr="00FE57FC" w:rsidRDefault="009F6F06" w:rsidP="001E1A4E">
            <w:pPr>
              <w:jc w:val="center"/>
              <w:rPr>
                <w:rFonts w:ascii="Garamond" w:eastAsia="Klavika-Bold" w:hAnsi="Garamond" w:cstheme="minorHAnsi"/>
                <w:b/>
                <w:bCs/>
                <w:color w:val="FFFFFF" w:themeColor="background1"/>
              </w:rPr>
            </w:pPr>
            <w:r w:rsidRPr="00FE57FC">
              <w:rPr>
                <w:rFonts w:ascii="Garamond" w:eastAsia="Klavika-Bold" w:hAnsi="Garamond" w:cstheme="minorHAnsi"/>
                <w:b/>
                <w:bCs/>
                <w:color w:val="FFFFFF" w:themeColor="background1"/>
              </w:rPr>
              <w:t>Mercado</w:t>
            </w:r>
          </w:p>
        </w:tc>
        <w:tc>
          <w:tcPr>
            <w:tcW w:w="1880" w:type="pct"/>
            <w:shd w:val="clear" w:color="auto" w:fill="DAEEF3" w:themeFill="accent5" w:themeFillTint="33"/>
            <w:vAlign w:val="center"/>
          </w:tcPr>
          <w:p w14:paraId="18489E99" w14:textId="77777777" w:rsidR="009F6F06" w:rsidRPr="00FE57FC" w:rsidRDefault="009F6F06" w:rsidP="001E1A4E">
            <w:pPr>
              <w:rPr>
                <w:rFonts w:ascii="Garamond" w:eastAsia="Klavika-Bold" w:hAnsi="Garamond" w:cstheme="minorHAnsi"/>
                <w:bCs/>
                <w:color w:val="002060"/>
              </w:rPr>
            </w:pPr>
            <w:r w:rsidRPr="00FE57FC">
              <w:rPr>
                <w:rFonts w:ascii="Garamond" w:eastAsia="Klavika-Bold" w:hAnsi="Garamond" w:cstheme="minorHAnsi"/>
                <w:bCs/>
                <w:color w:val="002060"/>
              </w:rPr>
              <w:t>Perda resultante de flutuações de valores de mercado de posições detidas pela Empresa, bem como de perdas referentes à mudanças nas condições políticas, econômicas ou financeiras do Brasil ou de outros países</w:t>
            </w:r>
          </w:p>
        </w:tc>
        <w:tc>
          <w:tcPr>
            <w:tcW w:w="2811" w:type="pct"/>
            <w:shd w:val="clear" w:color="auto" w:fill="DAEEF3" w:themeFill="accent5" w:themeFillTint="33"/>
            <w:vAlign w:val="center"/>
          </w:tcPr>
          <w:p w14:paraId="34F91183" w14:textId="77777777" w:rsidR="009F6F06" w:rsidRPr="00FE57FC" w:rsidRDefault="009F6F06"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Observar o disposto na Política de Gestão de Caixa e Investimentos.</w:t>
            </w:r>
          </w:p>
          <w:p w14:paraId="52219A14" w14:textId="77777777" w:rsidR="009F6F06" w:rsidRPr="00FE57FC" w:rsidRDefault="009F6F06"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Monitorar os fatores de risco que influenciam diretamente no retorno dos investimentos da Empresa, incluindo as posições de mercado e as condições econômicas e financeiras do Brasil e dos demais países.</w:t>
            </w:r>
          </w:p>
        </w:tc>
      </w:tr>
      <w:tr w:rsidR="00FE57FC" w:rsidRPr="00FE57FC" w14:paraId="4622B22C" w14:textId="77777777" w:rsidTr="009239B4">
        <w:trPr>
          <w:cantSplit/>
          <w:trHeight w:val="2032"/>
        </w:trPr>
        <w:tc>
          <w:tcPr>
            <w:tcW w:w="309" w:type="pct"/>
            <w:shd w:val="clear" w:color="auto" w:fill="002060"/>
            <w:textDirection w:val="btLr"/>
            <w:vAlign w:val="center"/>
          </w:tcPr>
          <w:p w14:paraId="7E00CB37" w14:textId="77777777" w:rsidR="009F6F06" w:rsidRPr="00FE57FC" w:rsidRDefault="009F6F06" w:rsidP="001E1A4E">
            <w:pPr>
              <w:jc w:val="center"/>
              <w:rPr>
                <w:rFonts w:ascii="Garamond" w:eastAsia="Klavika-Bold" w:hAnsi="Garamond" w:cstheme="minorHAnsi"/>
                <w:b/>
                <w:bCs/>
                <w:color w:val="FFFFFF" w:themeColor="background1"/>
              </w:rPr>
            </w:pPr>
            <w:r w:rsidRPr="00FE57FC">
              <w:rPr>
                <w:rFonts w:ascii="Garamond" w:eastAsia="Klavika-Bold" w:hAnsi="Garamond" w:cstheme="minorHAnsi"/>
                <w:b/>
                <w:bCs/>
                <w:color w:val="FFFFFF" w:themeColor="background1"/>
              </w:rPr>
              <w:t>Subscrição</w:t>
            </w:r>
          </w:p>
        </w:tc>
        <w:tc>
          <w:tcPr>
            <w:tcW w:w="1880" w:type="pct"/>
            <w:shd w:val="clear" w:color="auto" w:fill="DAEEF3" w:themeFill="accent5" w:themeFillTint="33"/>
            <w:vAlign w:val="center"/>
          </w:tcPr>
          <w:p w14:paraId="7F80E700" w14:textId="77777777" w:rsidR="009F6F06" w:rsidRPr="00FE57FC" w:rsidRDefault="009F6F06" w:rsidP="001E1A4E">
            <w:pPr>
              <w:rPr>
                <w:rFonts w:ascii="Garamond" w:eastAsia="Klavika-Bold" w:hAnsi="Garamond" w:cstheme="minorHAnsi"/>
                <w:bCs/>
                <w:color w:val="002060"/>
              </w:rPr>
            </w:pPr>
            <w:r w:rsidRPr="00FE57FC">
              <w:rPr>
                <w:rFonts w:ascii="Garamond" w:eastAsia="Klavika-Bold" w:hAnsi="Garamond" w:cstheme="minorHAnsi"/>
                <w:bCs/>
                <w:color w:val="002060"/>
              </w:rPr>
              <w:t>Perdas que contrariarem as expectativas da ABGF quando operando nas falhas do mercado segurador, associados, direta ou indiretamente, às bases técnicas utilizadas para cálculos de prêmios, quotas e provisões técnicas</w:t>
            </w:r>
          </w:p>
        </w:tc>
        <w:tc>
          <w:tcPr>
            <w:tcW w:w="2811" w:type="pct"/>
            <w:shd w:val="clear" w:color="auto" w:fill="DAEEF3" w:themeFill="accent5" w:themeFillTint="33"/>
            <w:vAlign w:val="center"/>
          </w:tcPr>
          <w:p w14:paraId="0F2AEC1B" w14:textId="77777777" w:rsidR="009F6F06" w:rsidRPr="00FE57FC" w:rsidRDefault="009F6F06"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Observar o disposto na Política de Subscrição de Risco;</w:t>
            </w:r>
          </w:p>
          <w:p w14:paraId="7CB07A15" w14:textId="77777777" w:rsidR="009F6F06" w:rsidRPr="00FE57FC" w:rsidRDefault="009F6F06"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Adotar metodologias baseadas nas boas práticas de mercado que garantam a precificação adequada ao risco assumido.</w:t>
            </w:r>
          </w:p>
          <w:p w14:paraId="19487343" w14:textId="77777777" w:rsidR="009F6F06" w:rsidRPr="00FE57FC" w:rsidRDefault="009F6F06"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Garantir solvência da carteira utilizando-se provisões técnicas periodicamente testadas e avaliadas</w:t>
            </w:r>
          </w:p>
          <w:p w14:paraId="0B7AA018" w14:textId="77777777" w:rsidR="009F6F06" w:rsidRPr="00FE57FC" w:rsidRDefault="009F6F06"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Assegurar que as análises de risco observem a exposição ao risco e as características do produto.</w:t>
            </w:r>
          </w:p>
          <w:p w14:paraId="7A5C6885" w14:textId="10EA6CB9" w:rsidR="009F6F06" w:rsidRPr="00FE57FC" w:rsidRDefault="009F6F06" w:rsidP="001E1A4E">
            <w:pPr>
              <w:numPr>
                <w:ilvl w:val="0"/>
                <w:numId w:val="4"/>
              </w:numPr>
              <w:ind w:left="313" w:hanging="357"/>
              <w:rPr>
                <w:rFonts w:ascii="Garamond" w:eastAsia="Klavika-Bold" w:hAnsi="Garamond" w:cstheme="minorHAnsi"/>
                <w:bCs/>
                <w:color w:val="002060"/>
              </w:rPr>
            </w:pPr>
            <w:r w:rsidRPr="00FE57FC">
              <w:rPr>
                <w:rFonts w:ascii="Garamond" w:eastAsia="Klavika-Bold" w:hAnsi="Garamond" w:cstheme="minorHAnsi"/>
                <w:bCs/>
                <w:color w:val="002060"/>
              </w:rPr>
              <w:t>Definir a Declaração de Apetite ao Risco.</w:t>
            </w:r>
          </w:p>
        </w:tc>
      </w:tr>
    </w:tbl>
    <w:p w14:paraId="3C1A2591" w14:textId="77777777" w:rsidR="009239B4" w:rsidRPr="00FE57FC" w:rsidRDefault="009239B4" w:rsidP="003048E2">
      <w:pPr>
        <w:spacing w:before="120" w:after="120" w:line="240" w:lineRule="auto"/>
        <w:jc w:val="both"/>
        <w:rPr>
          <w:rFonts w:ascii="Garamond" w:hAnsi="Garamond" w:cs="Arial"/>
          <w:b/>
          <w:color w:val="002060"/>
          <w:sz w:val="24"/>
          <w:szCs w:val="24"/>
        </w:rPr>
      </w:pPr>
    </w:p>
    <w:p w14:paraId="521FEE83" w14:textId="77777777" w:rsidR="00D703FE" w:rsidRPr="00FE57FC" w:rsidRDefault="004425AF" w:rsidP="003048E2">
      <w:pPr>
        <w:spacing w:before="120" w:after="120" w:line="240" w:lineRule="auto"/>
        <w:jc w:val="both"/>
        <w:rPr>
          <w:rFonts w:ascii="Garamond" w:hAnsi="Garamond" w:cs="Arial"/>
          <w:b/>
          <w:color w:val="002060"/>
          <w:sz w:val="24"/>
          <w:szCs w:val="24"/>
        </w:rPr>
      </w:pPr>
      <w:r w:rsidRPr="00FE57FC">
        <w:rPr>
          <w:rFonts w:ascii="Garamond" w:hAnsi="Garamond" w:cs="Arial"/>
          <w:b/>
          <w:color w:val="002060"/>
          <w:sz w:val="24"/>
          <w:szCs w:val="24"/>
        </w:rPr>
        <w:t>8. Remuneração</w:t>
      </w:r>
    </w:p>
    <w:p w14:paraId="2E0DF254" w14:textId="564ADC18" w:rsidR="003706EE" w:rsidRPr="00FE57FC" w:rsidRDefault="004425AF" w:rsidP="003048E2">
      <w:pPr>
        <w:spacing w:before="120" w:after="120" w:line="240" w:lineRule="auto"/>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 xml:space="preserve">Conforme previsto no </w:t>
      </w:r>
      <w:r w:rsidR="00BA70A7" w:rsidRPr="00FE57FC">
        <w:rPr>
          <w:rFonts w:ascii="Garamond" w:eastAsia="Klavika-Bold" w:hAnsi="Garamond" w:cs="Arial"/>
          <w:bCs/>
          <w:color w:val="002060"/>
          <w:sz w:val="24"/>
          <w:szCs w:val="24"/>
        </w:rPr>
        <w:t xml:space="preserve">art. </w:t>
      </w:r>
      <w:r w:rsidR="005D4091" w:rsidRPr="00FE57FC">
        <w:rPr>
          <w:rFonts w:ascii="Garamond" w:eastAsia="Klavika-Bold" w:hAnsi="Garamond" w:cs="Arial"/>
          <w:bCs/>
          <w:color w:val="002060"/>
          <w:sz w:val="24"/>
          <w:szCs w:val="24"/>
        </w:rPr>
        <w:t xml:space="preserve">29 </w:t>
      </w:r>
      <w:r w:rsidR="00BA70A7" w:rsidRPr="00FE57FC">
        <w:rPr>
          <w:rFonts w:ascii="Garamond" w:eastAsia="Klavika-Bold" w:hAnsi="Garamond" w:cs="Arial"/>
          <w:bCs/>
          <w:color w:val="002060"/>
          <w:sz w:val="24"/>
          <w:szCs w:val="24"/>
        </w:rPr>
        <w:t xml:space="preserve">do </w:t>
      </w:r>
      <w:r w:rsidRPr="00FE57FC">
        <w:rPr>
          <w:rFonts w:ascii="Garamond" w:eastAsia="Klavika-Bold" w:hAnsi="Garamond" w:cs="Arial"/>
          <w:bCs/>
          <w:color w:val="002060"/>
          <w:sz w:val="24"/>
          <w:szCs w:val="24"/>
        </w:rPr>
        <w:t xml:space="preserve">Estatuto Social da ABGF, a remuneração e demais benefícios </w:t>
      </w:r>
      <w:r w:rsidR="005D4091" w:rsidRPr="00FE57FC">
        <w:rPr>
          <w:rFonts w:ascii="Garamond" w:eastAsia="Klavika-Bold" w:hAnsi="Garamond" w:cs="Arial"/>
          <w:bCs/>
          <w:color w:val="002060"/>
          <w:sz w:val="24"/>
          <w:szCs w:val="24"/>
        </w:rPr>
        <w:t>dos membros estatutários e, quando aplicável, dos demais comitês de assessoramento,</w:t>
      </w:r>
      <w:r w:rsidRPr="00FE57FC">
        <w:rPr>
          <w:rFonts w:ascii="Garamond" w:eastAsia="Klavika-Bold" w:hAnsi="Garamond" w:cs="Arial"/>
          <w:bCs/>
          <w:color w:val="002060"/>
          <w:sz w:val="24"/>
          <w:szCs w:val="24"/>
        </w:rPr>
        <w:t xml:space="preserve"> é fixada anualmente pela Assembleia Geral Ordinária, observada</w:t>
      </w:r>
      <w:r w:rsidR="005D4091" w:rsidRPr="00FE57FC">
        <w:rPr>
          <w:rFonts w:ascii="Garamond" w:eastAsia="Klavika-Bold" w:hAnsi="Garamond" w:cs="Arial"/>
          <w:bCs/>
          <w:color w:val="002060"/>
          <w:sz w:val="24"/>
          <w:szCs w:val="24"/>
        </w:rPr>
        <w:t xml:space="preserve"> a legislação vigente</w:t>
      </w:r>
      <w:r w:rsidRPr="00FE57FC">
        <w:rPr>
          <w:rFonts w:ascii="Garamond" w:eastAsia="Klavika-Bold" w:hAnsi="Garamond" w:cs="Arial"/>
          <w:bCs/>
          <w:color w:val="002060"/>
          <w:sz w:val="24"/>
          <w:szCs w:val="24"/>
        </w:rPr>
        <w:t>. Os valores referentes à remuneração da Diretoria Executiva são definidos pela Secretaria de Coordenação e Governança das Empresas Estatais do Ministério</w:t>
      </w:r>
      <w:r w:rsidR="00456746" w:rsidRPr="00FE57FC">
        <w:rPr>
          <w:rFonts w:ascii="Garamond" w:eastAsia="Klavika-Bold" w:hAnsi="Garamond" w:cs="Arial"/>
          <w:bCs/>
          <w:color w:val="002060"/>
          <w:sz w:val="24"/>
          <w:szCs w:val="24"/>
        </w:rPr>
        <w:t xml:space="preserve"> da Economia</w:t>
      </w:r>
      <w:r w:rsidRPr="00FE57FC">
        <w:rPr>
          <w:rFonts w:ascii="Garamond" w:eastAsia="Klavika-Bold" w:hAnsi="Garamond" w:cs="Arial"/>
          <w:bCs/>
          <w:color w:val="002060"/>
          <w:sz w:val="24"/>
          <w:szCs w:val="24"/>
        </w:rPr>
        <w:t xml:space="preserve"> e acatados pela empresa. A remuneração total engloba remuneração fixa e benefícios. </w:t>
      </w:r>
    </w:p>
    <w:p w14:paraId="68165914" w14:textId="77777777" w:rsidR="008B3BF8" w:rsidRPr="00FE57FC" w:rsidRDefault="004425AF" w:rsidP="003048E2">
      <w:pPr>
        <w:tabs>
          <w:tab w:val="left" w:pos="1418"/>
        </w:tabs>
        <w:spacing w:before="120" w:after="120" w:line="240" w:lineRule="auto"/>
        <w:jc w:val="both"/>
        <w:rPr>
          <w:rFonts w:ascii="Garamond" w:eastAsia="Klavika-Bold" w:hAnsi="Garamond" w:cs="Arial"/>
          <w:bCs/>
          <w:color w:val="002060"/>
          <w:sz w:val="24"/>
          <w:szCs w:val="24"/>
        </w:rPr>
      </w:pPr>
      <w:r w:rsidRPr="00FE57FC">
        <w:rPr>
          <w:rFonts w:ascii="Garamond" w:eastAsia="Klavika-Bold" w:hAnsi="Garamond" w:cs="Arial"/>
          <w:bCs/>
          <w:color w:val="002060"/>
          <w:sz w:val="24"/>
          <w:szCs w:val="24"/>
        </w:rPr>
        <w:t xml:space="preserve">A SEST fixou, ainda, a remuneração mensal dos conselheiros em 10% </w:t>
      </w:r>
      <w:r w:rsidR="00BA70A7" w:rsidRPr="00FE57FC">
        <w:rPr>
          <w:rFonts w:ascii="Garamond" w:eastAsia="Klavika-Bold" w:hAnsi="Garamond" w:cs="Arial"/>
          <w:bCs/>
          <w:color w:val="002060"/>
          <w:sz w:val="24"/>
          <w:szCs w:val="24"/>
        </w:rPr>
        <w:t xml:space="preserve">(dez por cento) </w:t>
      </w:r>
      <w:r w:rsidRPr="00FE57FC">
        <w:rPr>
          <w:rFonts w:ascii="Garamond" w:eastAsia="Klavika-Bold" w:hAnsi="Garamond" w:cs="Arial"/>
          <w:bCs/>
          <w:color w:val="002060"/>
          <w:sz w:val="24"/>
          <w:szCs w:val="24"/>
        </w:rPr>
        <w:t xml:space="preserve">da remuneração anual média atribuída a cada diretor, incluindo 1/12 </w:t>
      </w:r>
      <w:r w:rsidR="00BA70A7" w:rsidRPr="00FE57FC">
        <w:rPr>
          <w:rFonts w:ascii="Garamond" w:eastAsia="Klavika-Bold" w:hAnsi="Garamond" w:cs="Arial"/>
          <w:bCs/>
          <w:color w:val="002060"/>
          <w:sz w:val="24"/>
          <w:szCs w:val="24"/>
        </w:rPr>
        <w:t xml:space="preserve">(hum doze avos) </w:t>
      </w:r>
      <w:r w:rsidRPr="00FE57FC">
        <w:rPr>
          <w:rFonts w:ascii="Garamond" w:eastAsia="Klavika-Bold" w:hAnsi="Garamond" w:cs="Arial"/>
          <w:bCs/>
          <w:color w:val="002060"/>
          <w:sz w:val="24"/>
          <w:szCs w:val="24"/>
        </w:rPr>
        <w:t>de gratificação natalina, dividida pelo fator 12 (doze), garantindo pagamentos iguais em todos os meses do exercício</w:t>
      </w:r>
      <w:r w:rsidR="005E3705" w:rsidRPr="00FE57FC">
        <w:rPr>
          <w:rFonts w:ascii="Garamond" w:eastAsia="Klavika-Bold" w:hAnsi="Garamond" w:cs="Arial"/>
          <w:bCs/>
          <w:color w:val="002060"/>
          <w:sz w:val="24"/>
          <w:szCs w:val="24"/>
        </w:rPr>
        <w:t>.</w:t>
      </w:r>
    </w:p>
    <w:sectPr w:rsidR="008B3BF8" w:rsidRPr="00FE57FC" w:rsidSect="008C4EC7">
      <w:headerReference w:type="default" r:id="rId12"/>
      <w:footerReference w:type="defaul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12C31" w14:textId="77777777" w:rsidR="00496CF9" w:rsidRDefault="00496CF9" w:rsidP="003A5CC8">
      <w:pPr>
        <w:spacing w:after="0" w:line="240" w:lineRule="auto"/>
      </w:pPr>
      <w:r>
        <w:separator/>
      </w:r>
    </w:p>
  </w:endnote>
  <w:endnote w:type="continuationSeparator" w:id="0">
    <w:p w14:paraId="10773890" w14:textId="77777777" w:rsidR="00496CF9" w:rsidRDefault="00496CF9" w:rsidP="003A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Klavika-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15880"/>
      <w:docPartObj>
        <w:docPartGallery w:val="Page Numbers (Bottom of Page)"/>
        <w:docPartUnique/>
      </w:docPartObj>
    </w:sdtPr>
    <w:sdtEndPr>
      <w:rPr>
        <w:rFonts w:ascii="Garamond" w:hAnsi="Garamond"/>
        <w:color w:val="002060"/>
      </w:rPr>
    </w:sdtEndPr>
    <w:sdtContent>
      <w:p w14:paraId="5C1C0798" w14:textId="77777777" w:rsidR="00B22C4D" w:rsidRPr="00FE57FC" w:rsidRDefault="00B22C4D">
        <w:pPr>
          <w:pStyle w:val="Rodap"/>
          <w:jc w:val="right"/>
          <w:rPr>
            <w:rFonts w:ascii="Garamond" w:hAnsi="Garamond"/>
            <w:color w:val="002060"/>
          </w:rPr>
        </w:pPr>
        <w:r w:rsidRPr="00FE57FC">
          <w:rPr>
            <w:rFonts w:ascii="Garamond" w:hAnsi="Garamond"/>
            <w:noProof/>
            <w:color w:val="002060"/>
          </w:rPr>
          <w:fldChar w:fldCharType="begin"/>
        </w:r>
        <w:r w:rsidRPr="00FE57FC">
          <w:rPr>
            <w:rFonts w:ascii="Garamond" w:hAnsi="Garamond"/>
            <w:noProof/>
            <w:color w:val="002060"/>
          </w:rPr>
          <w:instrText xml:space="preserve"> PAGE   \* MERGEFORMAT </w:instrText>
        </w:r>
        <w:r w:rsidRPr="00FE57FC">
          <w:rPr>
            <w:rFonts w:ascii="Garamond" w:hAnsi="Garamond"/>
            <w:noProof/>
            <w:color w:val="002060"/>
          </w:rPr>
          <w:fldChar w:fldCharType="separate"/>
        </w:r>
        <w:r w:rsidR="005E3705" w:rsidRPr="00FE57FC">
          <w:rPr>
            <w:rFonts w:ascii="Garamond" w:hAnsi="Garamond"/>
            <w:noProof/>
            <w:color w:val="002060"/>
          </w:rPr>
          <w:t>14</w:t>
        </w:r>
        <w:r w:rsidRPr="00FE57FC">
          <w:rPr>
            <w:rFonts w:ascii="Garamond" w:hAnsi="Garamond"/>
            <w:noProof/>
            <w:color w:val="002060"/>
          </w:rPr>
          <w:fldChar w:fldCharType="end"/>
        </w:r>
      </w:p>
    </w:sdtContent>
  </w:sdt>
  <w:p w14:paraId="3A5C4862" w14:textId="77777777" w:rsidR="00B22C4D" w:rsidRDefault="00B22C4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93EEE" w14:textId="77777777" w:rsidR="00496CF9" w:rsidRDefault="00496CF9" w:rsidP="003A5CC8">
      <w:pPr>
        <w:spacing w:after="0" w:line="240" w:lineRule="auto"/>
      </w:pPr>
      <w:r>
        <w:separator/>
      </w:r>
    </w:p>
  </w:footnote>
  <w:footnote w:type="continuationSeparator" w:id="0">
    <w:p w14:paraId="5062F032" w14:textId="77777777" w:rsidR="00496CF9" w:rsidRDefault="00496CF9" w:rsidP="003A5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9605" w14:textId="77777777" w:rsidR="00B22C4D" w:rsidRDefault="00B22C4D">
    <w:pPr>
      <w:pStyle w:val="Cabealho"/>
    </w:pPr>
  </w:p>
  <w:p w14:paraId="22E02824" w14:textId="77777777" w:rsidR="00B22C4D" w:rsidRDefault="00B22C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C5B"/>
    <w:multiLevelType w:val="hybridMultilevel"/>
    <w:tmpl w:val="249E4388"/>
    <w:lvl w:ilvl="0" w:tplc="98B604D0">
      <w:start w:val="1"/>
      <w:numFmt w:val="bullet"/>
      <w:lvlText w:val=""/>
      <w:lvlJc w:val="left"/>
      <w:pPr>
        <w:ind w:left="720" w:hanging="360"/>
      </w:pPr>
      <w:rPr>
        <w:rFonts w:ascii="Symbol" w:hAnsi="Symbol" w:hint="default"/>
        <w:b w:val="0"/>
        <w:i w:val="0"/>
        <w:sz w:val="20"/>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EC6883"/>
    <w:multiLevelType w:val="hybridMultilevel"/>
    <w:tmpl w:val="6B703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C080B03"/>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44727C31"/>
    <w:multiLevelType w:val="hybridMultilevel"/>
    <w:tmpl w:val="968AC3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E845E8D"/>
    <w:multiLevelType w:val="hybridMultilevel"/>
    <w:tmpl w:val="40D808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46C724B"/>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22A3C14"/>
    <w:multiLevelType w:val="hybridMultilevel"/>
    <w:tmpl w:val="EA9284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C841C80"/>
    <w:multiLevelType w:val="hybridMultilevel"/>
    <w:tmpl w:val="ECF87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2C"/>
    <w:rsid w:val="0002230A"/>
    <w:rsid w:val="000231F1"/>
    <w:rsid w:val="000341A2"/>
    <w:rsid w:val="00035084"/>
    <w:rsid w:val="00035591"/>
    <w:rsid w:val="00046E95"/>
    <w:rsid w:val="000545DD"/>
    <w:rsid w:val="00065537"/>
    <w:rsid w:val="00075016"/>
    <w:rsid w:val="00076BEF"/>
    <w:rsid w:val="000850DE"/>
    <w:rsid w:val="000868DA"/>
    <w:rsid w:val="000917C7"/>
    <w:rsid w:val="000A24EC"/>
    <w:rsid w:val="000B4976"/>
    <w:rsid w:val="000B4A36"/>
    <w:rsid w:val="000C2621"/>
    <w:rsid w:val="000D5DCB"/>
    <w:rsid w:val="000E4A55"/>
    <w:rsid w:val="000F1526"/>
    <w:rsid w:val="00106330"/>
    <w:rsid w:val="00106F2F"/>
    <w:rsid w:val="00116BA1"/>
    <w:rsid w:val="00124422"/>
    <w:rsid w:val="00131C20"/>
    <w:rsid w:val="00133F7E"/>
    <w:rsid w:val="001351F4"/>
    <w:rsid w:val="00155D13"/>
    <w:rsid w:val="00160388"/>
    <w:rsid w:val="00187FC6"/>
    <w:rsid w:val="00197F2B"/>
    <w:rsid w:val="001A450A"/>
    <w:rsid w:val="001A7762"/>
    <w:rsid w:val="001C73BA"/>
    <w:rsid w:val="001D59AC"/>
    <w:rsid w:val="001D6C7A"/>
    <w:rsid w:val="001E1A4E"/>
    <w:rsid w:val="001F7B11"/>
    <w:rsid w:val="001F7DE9"/>
    <w:rsid w:val="0020675F"/>
    <w:rsid w:val="002118B7"/>
    <w:rsid w:val="0021314D"/>
    <w:rsid w:val="00226BAC"/>
    <w:rsid w:val="00232307"/>
    <w:rsid w:val="00240D79"/>
    <w:rsid w:val="00242E7C"/>
    <w:rsid w:val="00243DD0"/>
    <w:rsid w:val="00243E42"/>
    <w:rsid w:val="002505E4"/>
    <w:rsid w:val="00256288"/>
    <w:rsid w:val="00257978"/>
    <w:rsid w:val="00260C86"/>
    <w:rsid w:val="0026202C"/>
    <w:rsid w:val="002710DB"/>
    <w:rsid w:val="00274770"/>
    <w:rsid w:val="00287659"/>
    <w:rsid w:val="00290157"/>
    <w:rsid w:val="00293FF1"/>
    <w:rsid w:val="00294842"/>
    <w:rsid w:val="002D32B7"/>
    <w:rsid w:val="002D6B9A"/>
    <w:rsid w:val="002F1A91"/>
    <w:rsid w:val="003048E2"/>
    <w:rsid w:val="00311950"/>
    <w:rsid w:val="00313064"/>
    <w:rsid w:val="00324691"/>
    <w:rsid w:val="003322BC"/>
    <w:rsid w:val="003352AB"/>
    <w:rsid w:val="0034536B"/>
    <w:rsid w:val="003507F1"/>
    <w:rsid w:val="00354E6E"/>
    <w:rsid w:val="00367B91"/>
    <w:rsid w:val="003706EE"/>
    <w:rsid w:val="00373EBB"/>
    <w:rsid w:val="00381667"/>
    <w:rsid w:val="00382439"/>
    <w:rsid w:val="00393910"/>
    <w:rsid w:val="003A3E95"/>
    <w:rsid w:val="003A5CC8"/>
    <w:rsid w:val="003B118B"/>
    <w:rsid w:val="003C3DC3"/>
    <w:rsid w:val="003C6229"/>
    <w:rsid w:val="003C7024"/>
    <w:rsid w:val="003D1FD8"/>
    <w:rsid w:val="003F68F9"/>
    <w:rsid w:val="00400ABD"/>
    <w:rsid w:val="0041142A"/>
    <w:rsid w:val="00415BDA"/>
    <w:rsid w:val="00415DBD"/>
    <w:rsid w:val="00422954"/>
    <w:rsid w:val="00431BA4"/>
    <w:rsid w:val="00436A79"/>
    <w:rsid w:val="004425AF"/>
    <w:rsid w:val="00445245"/>
    <w:rsid w:val="0044567F"/>
    <w:rsid w:val="00456746"/>
    <w:rsid w:val="00462579"/>
    <w:rsid w:val="00470491"/>
    <w:rsid w:val="00482584"/>
    <w:rsid w:val="00486F57"/>
    <w:rsid w:val="0049458C"/>
    <w:rsid w:val="00496B1E"/>
    <w:rsid w:val="00496CF9"/>
    <w:rsid w:val="00497018"/>
    <w:rsid w:val="004A03CB"/>
    <w:rsid w:val="004B1E9D"/>
    <w:rsid w:val="004C3B9A"/>
    <w:rsid w:val="004C5E95"/>
    <w:rsid w:val="004C785B"/>
    <w:rsid w:val="004D041E"/>
    <w:rsid w:val="004D13E5"/>
    <w:rsid w:val="004D3268"/>
    <w:rsid w:val="004F7EB8"/>
    <w:rsid w:val="00507CE3"/>
    <w:rsid w:val="00517AAD"/>
    <w:rsid w:val="00520872"/>
    <w:rsid w:val="00526331"/>
    <w:rsid w:val="00532C8F"/>
    <w:rsid w:val="00545798"/>
    <w:rsid w:val="005468F2"/>
    <w:rsid w:val="005807B9"/>
    <w:rsid w:val="00582E3B"/>
    <w:rsid w:val="00584B7A"/>
    <w:rsid w:val="0059067E"/>
    <w:rsid w:val="005B1954"/>
    <w:rsid w:val="005B27EF"/>
    <w:rsid w:val="005B4FF1"/>
    <w:rsid w:val="005C6729"/>
    <w:rsid w:val="005D4091"/>
    <w:rsid w:val="005E25C2"/>
    <w:rsid w:val="005E3705"/>
    <w:rsid w:val="005F65E5"/>
    <w:rsid w:val="006147A5"/>
    <w:rsid w:val="0061677E"/>
    <w:rsid w:val="00616851"/>
    <w:rsid w:val="00621601"/>
    <w:rsid w:val="00635771"/>
    <w:rsid w:val="0064229D"/>
    <w:rsid w:val="00651551"/>
    <w:rsid w:val="0065333D"/>
    <w:rsid w:val="00662CCF"/>
    <w:rsid w:val="006656B3"/>
    <w:rsid w:val="006800D6"/>
    <w:rsid w:val="00683D92"/>
    <w:rsid w:val="006A2280"/>
    <w:rsid w:val="006B74D5"/>
    <w:rsid w:val="006E03C0"/>
    <w:rsid w:val="006E1560"/>
    <w:rsid w:val="006E529B"/>
    <w:rsid w:val="006F2855"/>
    <w:rsid w:val="007011B4"/>
    <w:rsid w:val="0070589B"/>
    <w:rsid w:val="00711F7A"/>
    <w:rsid w:val="00734B25"/>
    <w:rsid w:val="00751D1E"/>
    <w:rsid w:val="00751FEF"/>
    <w:rsid w:val="0075598B"/>
    <w:rsid w:val="00762444"/>
    <w:rsid w:val="007743BC"/>
    <w:rsid w:val="007A4D10"/>
    <w:rsid w:val="007A50B5"/>
    <w:rsid w:val="007C35C6"/>
    <w:rsid w:val="007C594A"/>
    <w:rsid w:val="007C5C6D"/>
    <w:rsid w:val="007C66BC"/>
    <w:rsid w:val="007E2C4F"/>
    <w:rsid w:val="007E5578"/>
    <w:rsid w:val="007E59CF"/>
    <w:rsid w:val="007F535A"/>
    <w:rsid w:val="007F625E"/>
    <w:rsid w:val="00811BEA"/>
    <w:rsid w:val="008128A7"/>
    <w:rsid w:val="00820E67"/>
    <w:rsid w:val="00852714"/>
    <w:rsid w:val="00857ADF"/>
    <w:rsid w:val="0086734D"/>
    <w:rsid w:val="00891C9D"/>
    <w:rsid w:val="00895827"/>
    <w:rsid w:val="00895D68"/>
    <w:rsid w:val="008A718A"/>
    <w:rsid w:val="008B3BF8"/>
    <w:rsid w:val="008B60E3"/>
    <w:rsid w:val="008B6716"/>
    <w:rsid w:val="008C3297"/>
    <w:rsid w:val="008C4EC7"/>
    <w:rsid w:val="008D0233"/>
    <w:rsid w:val="008E2224"/>
    <w:rsid w:val="008E6DA2"/>
    <w:rsid w:val="0090080E"/>
    <w:rsid w:val="00903A77"/>
    <w:rsid w:val="00915A0B"/>
    <w:rsid w:val="009239B4"/>
    <w:rsid w:val="00925825"/>
    <w:rsid w:val="00927C27"/>
    <w:rsid w:val="0093051C"/>
    <w:rsid w:val="0093305B"/>
    <w:rsid w:val="00933674"/>
    <w:rsid w:val="00952C2C"/>
    <w:rsid w:val="00962901"/>
    <w:rsid w:val="00973B57"/>
    <w:rsid w:val="00982C65"/>
    <w:rsid w:val="00983624"/>
    <w:rsid w:val="00984410"/>
    <w:rsid w:val="009A1AAD"/>
    <w:rsid w:val="009A1CE7"/>
    <w:rsid w:val="009A3BAD"/>
    <w:rsid w:val="009D52C0"/>
    <w:rsid w:val="009F33F1"/>
    <w:rsid w:val="009F6C20"/>
    <w:rsid w:val="009F6F06"/>
    <w:rsid w:val="00A0330E"/>
    <w:rsid w:val="00A07AB3"/>
    <w:rsid w:val="00A154BB"/>
    <w:rsid w:val="00A23546"/>
    <w:rsid w:val="00A246F5"/>
    <w:rsid w:val="00A70777"/>
    <w:rsid w:val="00A749D7"/>
    <w:rsid w:val="00A76148"/>
    <w:rsid w:val="00A8084D"/>
    <w:rsid w:val="00A968D4"/>
    <w:rsid w:val="00AA41C3"/>
    <w:rsid w:val="00AB6ACD"/>
    <w:rsid w:val="00AC25A9"/>
    <w:rsid w:val="00AD579C"/>
    <w:rsid w:val="00AD733C"/>
    <w:rsid w:val="00AE09DF"/>
    <w:rsid w:val="00AE2800"/>
    <w:rsid w:val="00B17C52"/>
    <w:rsid w:val="00B22C4D"/>
    <w:rsid w:val="00B23F8F"/>
    <w:rsid w:val="00B24906"/>
    <w:rsid w:val="00B257AC"/>
    <w:rsid w:val="00B2659D"/>
    <w:rsid w:val="00B4323D"/>
    <w:rsid w:val="00B5011F"/>
    <w:rsid w:val="00B504A5"/>
    <w:rsid w:val="00B838BE"/>
    <w:rsid w:val="00B862E6"/>
    <w:rsid w:val="00B92C2C"/>
    <w:rsid w:val="00BA70A7"/>
    <w:rsid w:val="00BB3ECC"/>
    <w:rsid w:val="00BD3A1C"/>
    <w:rsid w:val="00BE13AD"/>
    <w:rsid w:val="00BF2110"/>
    <w:rsid w:val="00C01CF8"/>
    <w:rsid w:val="00C13FD9"/>
    <w:rsid w:val="00C5074C"/>
    <w:rsid w:val="00C51826"/>
    <w:rsid w:val="00C660CB"/>
    <w:rsid w:val="00C666CF"/>
    <w:rsid w:val="00C6684C"/>
    <w:rsid w:val="00C72463"/>
    <w:rsid w:val="00C94D3A"/>
    <w:rsid w:val="00CA4363"/>
    <w:rsid w:val="00CB44D4"/>
    <w:rsid w:val="00CD626A"/>
    <w:rsid w:val="00CE1562"/>
    <w:rsid w:val="00CE6AD3"/>
    <w:rsid w:val="00CF30A7"/>
    <w:rsid w:val="00D005C6"/>
    <w:rsid w:val="00D00648"/>
    <w:rsid w:val="00D07DF5"/>
    <w:rsid w:val="00D423D9"/>
    <w:rsid w:val="00D57985"/>
    <w:rsid w:val="00D60E15"/>
    <w:rsid w:val="00D703FE"/>
    <w:rsid w:val="00D70E1A"/>
    <w:rsid w:val="00D727C1"/>
    <w:rsid w:val="00D74738"/>
    <w:rsid w:val="00D7736B"/>
    <w:rsid w:val="00D872FD"/>
    <w:rsid w:val="00DA5560"/>
    <w:rsid w:val="00DB1F53"/>
    <w:rsid w:val="00DB74D2"/>
    <w:rsid w:val="00DB7FD9"/>
    <w:rsid w:val="00DC5D98"/>
    <w:rsid w:val="00DD6074"/>
    <w:rsid w:val="00DE2B6A"/>
    <w:rsid w:val="00DE570B"/>
    <w:rsid w:val="00E01A7A"/>
    <w:rsid w:val="00E02989"/>
    <w:rsid w:val="00E158D3"/>
    <w:rsid w:val="00E30762"/>
    <w:rsid w:val="00E40F8E"/>
    <w:rsid w:val="00E416DB"/>
    <w:rsid w:val="00E618D8"/>
    <w:rsid w:val="00E64F46"/>
    <w:rsid w:val="00E70D85"/>
    <w:rsid w:val="00E77ED9"/>
    <w:rsid w:val="00E91512"/>
    <w:rsid w:val="00E93154"/>
    <w:rsid w:val="00EA2CE3"/>
    <w:rsid w:val="00EC6C52"/>
    <w:rsid w:val="00ED1833"/>
    <w:rsid w:val="00ED5219"/>
    <w:rsid w:val="00F20193"/>
    <w:rsid w:val="00F30517"/>
    <w:rsid w:val="00F6142F"/>
    <w:rsid w:val="00F63275"/>
    <w:rsid w:val="00F66BAD"/>
    <w:rsid w:val="00F77EED"/>
    <w:rsid w:val="00F80AAB"/>
    <w:rsid w:val="00F822AB"/>
    <w:rsid w:val="00F97362"/>
    <w:rsid w:val="00FB4D1A"/>
    <w:rsid w:val="00FB6562"/>
    <w:rsid w:val="00FE57FC"/>
    <w:rsid w:val="00FF5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C5CEE"/>
  <w15:docId w15:val="{63299298-DF2E-464C-BA04-1D547498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4D5"/>
  </w:style>
  <w:style w:type="paragraph" w:styleId="Ttulo1">
    <w:name w:val="heading 1"/>
    <w:basedOn w:val="Normal"/>
    <w:next w:val="Normal"/>
    <w:link w:val="Ttulo1Char"/>
    <w:autoRedefine/>
    <w:uiPriority w:val="9"/>
    <w:qFormat/>
    <w:rsid w:val="003048E2"/>
    <w:pPr>
      <w:keepNext/>
      <w:keepLines/>
      <w:numPr>
        <w:numId w:val="6"/>
      </w:numPr>
      <w:spacing w:before="480" w:after="240" w:line="230" w:lineRule="auto"/>
      <w:jc w:val="both"/>
      <w:outlineLvl w:val="0"/>
    </w:pPr>
    <w:rPr>
      <w:rFonts w:ascii="Arial Negrito" w:eastAsiaTheme="majorEastAsia" w:hAnsi="Arial Negrito" w:cstheme="majorBidi"/>
      <w:b/>
      <w:bCs/>
      <w:smallCaps/>
      <w:sz w:val="26"/>
      <w:szCs w:val="28"/>
    </w:rPr>
  </w:style>
  <w:style w:type="paragraph" w:styleId="Ttulo2">
    <w:name w:val="heading 2"/>
    <w:basedOn w:val="Normal"/>
    <w:next w:val="Normal"/>
    <w:link w:val="Ttulo2Char"/>
    <w:autoRedefine/>
    <w:uiPriority w:val="9"/>
    <w:unhideWhenUsed/>
    <w:qFormat/>
    <w:rsid w:val="003048E2"/>
    <w:pPr>
      <w:keepNext/>
      <w:keepLines/>
      <w:numPr>
        <w:ilvl w:val="1"/>
        <w:numId w:val="6"/>
      </w:numPr>
      <w:spacing w:before="320" w:after="320" w:line="230" w:lineRule="auto"/>
      <w:jc w:val="both"/>
      <w:outlineLvl w:val="1"/>
    </w:pPr>
    <w:rPr>
      <w:rFonts w:ascii="Arial" w:eastAsiaTheme="majorEastAsia" w:hAnsi="Arial" w:cs="Arial"/>
      <w:b/>
      <w:bCs/>
      <w:smallCaps/>
      <w:sz w:val="24"/>
      <w:szCs w:val="26"/>
    </w:rPr>
  </w:style>
  <w:style w:type="paragraph" w:styleId="Ttulo3">
    <w:name w:val="heading 3"/>
    <w:basedOn w:val="Normal"/>
    <w:next w:val="Normal"/>
    <w:link w:val="Ttulo3Char"/>
    <w:autoRedefine/>
    <w:unhideWhenUsed/>
    <w:qFormat/>
    <w:rsid w:val="003048E2"/>
    <w:pPr>
      <w:keepNext/>
      <w:keepLines/>
      <w:spacing w:before="120"/>
      <w:jc w:val="both"/>
      <w:outlineLvl w:val="2"/>
    </w:pPr>
    <w:rPr>
      <w:rFonts w:ascii="Arial" w:eastAsia="Calibri" w:hAnsi="Arial" w:cs="Arial"/>
      <w:b/>
      <w:color w:val="000000" w:themeColor="text1"/>
      <w:sz w:val="24"/>
      <w:szCs w:val="24"/>
    </w:rPr>
  </w:style>
  <w:style w:type="paragraph" w:styleId="Ttulo4">
    <w:name w:val="heading 4"/>
    <w:basedOn w:val="Normal"/>
    <w:next w:val="Normal"/>
    <w:link w:val="Ttulo4Char"/>
    <w:uiPriority w:val="9"/>
    <w:semiHidden/>
    <w:unhideWhenUsed/>
    <w:qFormat/>
    <w:rsid w:val="003048E2"/>
    <w:pPr>
      <w:keepNext/>
      <w:keepLines/>
      <w:numPr>
        <w:ilvl w:val="3"/>
        <w:numId w:val="6"/>
      </w:numPr>
      <w:spacing w:before="200" w:after="0"/>
      <w:jc w:val="both"/>
      <w:outlineLvl w:val="3"/>
    </w:pPr>
    <w:rPr>
      <w:rFonts w:asciiTheme="majorHAnsi" w:eastAsiaTheme="majorEastAsia" w:hAnsiTheme="majorHAnsi" w:cstheme="majorBidi"/>
      <w:b/>
      <w:bCs/>
      <w:i/>
      <w:iCs/>
      <w:color w:val="4F81BD" w:themeColor="accent1"/>
      <w:sz w:val="24"/>
    </w:rPr>
  </w:style>
  <w:style w:type="paragraph" w:styleId="Ttulo5">
    <w:name w:val="heading 5"/>
    <w:basedOn w:val="Normal"/>
    <w:next w:val="Normal"/>
    <w:link w:val="Ttulo5Char"/>
    <w:uiPriority w:val="9"/>
    <w:semiHidden/>
    <w:unhideWhenUsed/>
    <w:qFormat/>
    <w:rsid w:val="003048E2"/>
    <w:pPr>
      <w:keepNext/>
      <w:keepLines/>
      <w:numPr>
        <w:ilvl w:val="4"/>
        <w:numId w:val="6"/>
      </w:numPr>
      <w:spacing w:before="200" w:after="0"/>
      <w:jc w:val="both"/>
      <w:outlineLvl w:val="4"/>
    </w:pPr>
    <w:rPr>
      <w:rFonts w:asciiTheme="majorHAnsi" w:eastAsiaTheme="majorEastAsia" w:hAnsiTheme="majorHAnsi" w:cstheme="majorBidi"/>
      <w:color w:val="243F60" w:themeColor="accent1" w:themeShade="7F"/>
      <w:sz w:val="24"/>
    </w:rPr>
  </w:style>
  <w:style w:type="paragraph" w:styleId="Ttulo6">
    <w:name w:val="heading 6"/>
    <w:basedOn w:val="Normal"/>
    <w:next w:val="Normal"/>
    <w:link w:val="Ttulo6Char"/>
    <w:uiPriority w:val="9"/>
    <w:semiHidden/>
    <w:unhideWhenUsed/>
    <w:qFormat/>
    <w:rsid w:val="003048E2"/>
    <w:pPr>
      <w:keepNext/>
      <w:keepLines/>
      <w:numPr>
        <w:ilvl w:val="5"/>
        <w:numId w:val="6"/>
      </w:numPr>
      <w:spacing w:before="200" w:after="0"/>
      <w:jc w:val="both"/>
      <w:outlineLvl w:val="5"/>
    </w:pPr>
    <w:rPr>
      <w:rFonts w:asciiTheme="majorHAnsi" w:eastAsiaTheme="majorEastAsia" w:hAnsiTheme="majorHAnsi" w:cstheme="majorBidi"/>
      <w:i/>
      <w:iCs/>
      <w:color w:val="243F60" w:themeColor="accent1" w:themeShade="7F"/>
      <w:sz w:val="24"/>
    </w:rPr>
  </w:style>
  <w:style w:type="paragraph" w:styleId="Ttulo7">
    <w:name w:val="heading 7"/>
    <w:basedOn w:val="Normal"/>
    <w:next w:val="Normal"/>
    <w:link w:val="Ttulo7Char"/>
    <w:uiPriority w:val="9"/>
    <w:semiHidden/>
    <w:unhideWhenUsed/>
    <w:qFormat/>
    <w:rsid w:val="003048E2"/>
    <w:pPr>
      <w:keepNext/>
      <w:keepLines/>
      <w:numPr>
        <w:ilvl w:val="6"/>
        <w:numId w:val="6"/>
      </w:numPr>
      <w:spacing w:before="200" w:after="0"/>
      <w:jc w:val="both"/>
      <w:outlineLvl w:val="6"/>
    </w:pPr>
    <w:rPr>
      <w:rFonts w:asciiTheme="majorHAnsi" w:eastAsiaTheme="majorEastAsia" w:hAnsiTheme="majorHAnsi" w:cstheme="majorBidi"/>
      <w:i/>
      <w:iCs/>
      <w:color w:val="404040" w:themeColor="text1" w:themeTint="BF"/>
      <w:sz w:val="24"/>
    </w:rPr>
  </w:style>
  <w:style w:type="paragraph" w:styleId="Ttulo8">
    <w:name w:val="heading 8"/>
    <w:basedOn w:val="Normal"/>
    <w:next w:val="Normal"/>
    <w:link w:val="Ttulo8Char"/>
    <w:uiPriority w:val="9"/>
    <w:semiHidden/>
    <w:unhideWhenUsed/>
    <w:qFormat/>
    <w:rsid w:val="003048E2"/>
    <w:pPr>
      <w:keepNext/>
      <w:keepLines/>
      <w:numPr>
        <w:ilvl w:val="7"/>
        <w:numId w:val="6"/>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048E2"/>
    <w:pPr>
      <w:keepNext/>
      <w:keepLines/>
      <w:numPr>
        <w:ilvl w:val="8"/>
        <w:numId w:val="6"/>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F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00648"/>
    <w:rPr>
      <w:color w:val="0000FF"/>
      <w:u w:val="single"/>
    </w:rPr>
  </w:style>
  <w:style w:type="paragraph" w:styleId="PargrafodaLista">
    <w:name w:val="List Paragraph"/>
    <w:aliases w:val="Lista Paragrafo em Preto"/>
    <w:basedOn w:val="Normal"/>
    <w:link w:val="PargrafodaListaChar"/>
    <w:uiPriority w:val="34"/>
    <w:qFormat/>
    <w:rsid w:val="00046E95"/>
    <w:pPr>
      <w:ind w:left="720"/>
      <w:contextualSpacing/>
    </w:pPr>
  </w:style>
  <w:style w:type="paragraph" w:customStyle="1" w:styleId="texto10">
    <w:name w:val="texto10"/>
    <w:basedOn w:val="Normal"/>
    <w:rsid w:val="00243E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80AAB"/>
  </w:style>
  <w:style w:type="paragraph" w:styleId="Textodebalo">
    <w:name w:val="Balloon Text"/>
    <w:basedOn w:val="Normal"/>
    <w:link w:val="TextodebaloChar"/>
    <w:uiPriority w:val="99"/>
    <w:semiHidden/>
    <w:unhideWhenUsed/>
    <w:rsid w:val="00496B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6B1E"/>
    <w:rPr>
      <w:rFonts w:ascii="Tahoma" w:hAnsi="Tahoma" w:cs="Tahoma"/>
      <w:sz w:val="16"/>
      <w:szCs w:val="16"/>
    </w:rPr>
  </w:style>
  <w:style w:type="character" w:styleId="Refdecomentrio">
    <w:name w:val="annotation reference"/>
    <w:basedOn w:val="Fontepargpadro"/>
    <w:uiPriority w:val="99"/>
    <w:semiHidden/>
    <w:unhideWhenUsed/>
    <w:rsid w:val="00313064"/>
    <w:rPr>
      <w:sz w:val="16"/>
      <w:szCs w:val="16"/>
    </w:rPr>
  </w:style>
  <w:style w:type="paragraph" w:styleId="Textodecomentrio">
    <w:name w:val="annotation text"/>
    <w:basedOn w:val="Normal"/>
    <w:link w:val="TextodecomentrioChar"/>
    <w:uiPriority w:val="99"/>
    <w:semiHidden/>
    <w:unhideWhenUsed/>
    <w:rsid w:val="0031306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3064"/>
    <w:rPr>
      <w:sz w:val="20"/>
      <w:szCs w:val="20"/>
    </w:rPr>
  </w:style>
  <w:style w:type="paragraph" w:styleId="Assuntodocomentrio">
    <w:name w:val="annotation subject"/>
    <w:basedOn w:val="Textodecomentrio"/>
    <w:next w:val="Textodecomentrio"/>
    <w:link w:val="AssuntodocomentrioChar"/>
    <w:uiPriority w:val="99"/>
    <w:semiHidden/>
    <w:unhideWhenUsed/>
    <w:rsid w:val="00313064"/>
    <w:rPr>
      <w:b/>
      <w:bCs/>
    </w:rPr>
  </w:style>
  <w:style w:type="character" w:customStyle="1" w:styleId="AssuntodocomentrioChar">
    <w:name w:val="Assunto do comentário Char"/>
    <w:basedOn w:val="TextodecomentrioChar"/>
    <w:link w:val="Assuntodocomentrio"/>
    <w:uiPriority w:val="99"/>
    <w:semiHidden/>
    <w:rsid w:val="00313064"/>
    <w:rPr>
      <w:b/>
      <w:bCs/>
      <w:sz w:val="20"/>
      <w:szCs w:val="20"/>
    </w:rPr>
  </w:style>
  <w:style w:type="paragraph" w:styleId="Cabealho">
    <w:name w:val="header"/>
    <w:basedOn w:val="Normal"/>
    <w:link w:val="CabealhoChar"/>
    <w:uiPriority w:val="99"/>
    <w:unhideWhenUsed/>
    <w:rsid w:val="003A5C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5CC8"/>
  </w:style>
  <w:style w:type="paragraph" w:styleId="Rodap">
    <w:name w:val="footer"/>
    <w:basedOn w:val="Normal"/>
    <w:link w:val="RodapChar"/>
    <w:uiPriority w:val="99"/>
    <w:unhideWhenUsed/>
    <w:rsid w:val="003A5CC8"/>
    <w:pPr>
      <w:tabs>
        <w:tab w:val="center" w:pos="4252"/>
        <w:tab w:val="right" w:pos="8504"/>
      </w:tabs>
      <w:spacing w:after="0" w:line="240" w:lineRule="auto"/>
    </w:pPr>
  </w:style>
  <w:style w:type="character" w:customStyle="1" w:styleId="RodapChar">
    <w:name w:val="Rodapé Char"/>
    <w:basedOn w:val="Fontepargpadro"/>
    <w:link w:val="Rodap"/>
    <w:uiPriority w:val="99"/>
    <w:rsid w:val="003A5CC8"/>
  </w:style>
  <w:style w:type="character" w:customStyle="1" w:styleId="PargrafodaListaChar">
    <w:name w:val="Parágrafo da Lista Char"/>
    <w:aliases w:val="Lista Paragrafo em Preto Char"/>
    <w:link w:val="PargrafodaLista"/>
    <w:uiPriority w:val="34"/>
    <w:qFormat/>
    <w:locked/>
    <w:rsid w:val="002505E4"/>
  </w:style>
  <w:style w:type="character" w:customStyle="1" w:styleId="Ttulo1Char">
    <w:name w:val="Título 1 Char"/>
    <w:basedOn w:val="Fontepargpadro"/>
    <w:link w:val="Ttulo1"/>
    <w:uiPriority w:val="9"/>
    <w:rsid w:val="003048E2"/>
    <w:rPr>
      <w:rFonts w:ascii="Arial Negrito" w:eastAsiaTheme="majorEastAsia" w:hAnsi="Arial Negrito" w:cstheme="majorBidi"/>
      <w:b/>
      <w:bCs/>
      <w:smallCaps/>
      <w:sz w:val="26"/>
      <w:szCs w:val="28"/>
    </w:rPr>
  </w:style>
  <w:style w:type="character" w:customStyle="1" w:styleId="Ttulo2Char">
    <w:name w:val="Título 2 Char"/>
    <w:basedOn w:val="Fontepargpadro"/>
    <w:link w:val="Ttulo2"/>
    <w:uiPriority w:val="9"/>
    <w:rsid w:val="003048E2"/>
    <w:rPr>
      <w:rFonts w:ascii="Arial" w:eastAsiaTheme="majorEastAsia" w:hAnsi="Arial" w:cs="Arial"/>
      <w:b/>
      <w:bCs/>
      <w:smallCaps/>
      <w:sz w:val="24"/>
      <w:szCs w:val="26"/>
    </w:rPr>
  </w:style>
  <w:style w:type="character" w:customStyle="1" w:styleId="Ttulo3Char">
    <w:name w:val="Título 3 Char"/>
    <w:basedOn w:val="Fontepargpadro"/>
    <w:link w:val="Ttulo3"/>
    <w:rsid w:val="003048E2"/>
    <w:rPr>
      <w:rFonts w:ascii="Arial" w:eastAsia="Calibri" w:hAnsi="Arial" w:cs="Arial"/>
      <w:b/>
      <w:color w:val="000000" w:themeColor="text1"/>
      <w:sz w:val="24"/>
      <w:szCs w:val="24"/>
    </w:rPr>
  </w:style>
  <w:style w:type="character" w:customStyle="1" w:styleId="Ttulo4Char">
    <w:name w:val="Título 4 Char"/>
    <w:basedOn w:val="Fontepargpadro"/>
    <w:link w:val="Ttulo4"/>
    <w:uiPriority w:val="9"/>
    <w:semiHidden/>
    <w:rsid w:val="003048E2"/>
    <w:rPr>
      <w:rFonts w:asciiTheme="majorHAnsi" w:eastAsiaTheme="majorEastAsia" w:hAnsiTheme="majorHAnsi" w:cstheme="majorBidi"/>
      <w:b/>
      <w:bCs/>
      <w:i/>
      <w:iCs/>
      <w:color w:val="4F81BD" w:themeColor="accent1"/>
      <w:sz w:val="24"/>
    </w:rPr>
  </w:style>
  <w:style w:type="character" w:customStyle="1" w:styleId="Ttulo5Char">
    <w:name w:val="Título 5 Char"/>
    <w:basedOn w:val="Fontepargpadro"/>
    <w:link w:val="Ttulo5"/>
    <w:uiPriority w:val="9"/>
    <w:semiHidden/>
    <w:rsid w:val="003048E2"/>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semiHidden/>
    <w:rsid w:val="003048E2"/>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sid w:val="003048E2"/>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3048E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3048E2"/>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3048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3">
    <w:name w:val="A3"/>
    <w:uiPriority w:val="99"/>
    <w:rsid w:val="00895827"/>
    <w:rPr>
      <w:rFonts w:cs="Open Sans"/>
      <w:color w:val="000000"/>
      <w:sz w:val="22"/>
      <w:szCs w:val="22"/>
    </w:rPr>
  </w:style>
  <w:style w:type="table" w:customStyle="1" w:styleId="TableNormal">
    <w:name w:val="Table Normal"/>
    <w:uiPriority w:val="2"/>
    <w:semiHidden/>
    <w:unhideWhenUsed/>
    <w:qFormat/>
    <w:rsid w:val="00240D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40D79"/>
    <w:pPr>
      <w:widowControl w:val="0"/>
      <w:autoSpaceDE w:val="0"/>
      <w:autoSpaceDN w:val="0"/>
      <w:spacing w:after="0" w:line="240" w:lineRule="auto"/>
    </w:pPr>
    <w:rPr>
      <w:rFonts w:ascii="Arial Black" w:eastAsia="Arial Black" w:hAnsi="Arial Black" w:cs="Arial Black"/>
      <w:lang w:val="pt-PT" w:eastAsia="pt-PT" w:bidi="pt-PT"/>
    </w:rPr>
  </w:style>
  <w:style w:type="character" w:customStyle="1" w:styleId="CorpodetextoChar">
    <w:name w:val="Corpo de texto Char"/>
    <w:basedOn w:val="Fontepargpadro"/>
    <w:link w:val="Corpodetexto"/>
    <w:uiPriority w:val="1"/>
    <w:rsid w:val="00240D79"/>
    <w:rPr>
      <w:rFonts w:ascii="Arial Black" w:eastAsia="Arial Black" w:hAnsi="Arial Black" w:cs="Arial Black"/>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9501">
      <w:bodyDiv w:val="1"/>
      <w:marLeft w:val="0"/>
      <w:marRight w:val="0"/>
      <w:marTop w:val="0"/>
      <w:marBottom w:val="0"/>
      <w:divBdr>
        <w:top w:val="none" w:sz="0" w:space="0" w:color="auto"/>
        <w:left w:val="none" w:sz="0" w:space="0" w:color="auto"/>
        <w:bottom w:val="none" w:sz="0" w:space="0" w:color="auto"/>
        <w:right w:val="none" w:sz="0" w:space="0" w:color="auto"/>
      </w:divBdr>
    </w:div>
    <w:div w:id="1184900929">
      <w:bodyDiv w:val="1"/>
      <w:marLeft w:val="0"/>
      <w:marRight w:val="0"/>
      <w:marTop w:val="0"/>
      <w:marBottom w:val="0"/>
      <w:divBdr>
        <w:top w:val="none" w:sz="0" w:space="0" w:color="auto"/>
        <w:left w:val="none" w:sz="0" w:space="0" w:color="auto"/>
        <w:bottom w:val="none" w:sz="0" w:space="0" w:color="auto"/>
        <w:right w:val="none" w:sz="0" w:space="0" w:color="auto"/>
      </w:divBdr>
    </w:div>
    <w:div w:id="1272741674">
      <w:bodyDiv w:val="1"/>
      <w:marLeft w:val="0"/>
      <w:marRight w:val="0"/>
      <w:marTop w:val="0"/>
      <w:marBottom w:val="0"/>
      <w:divBdr>
        <w:top w:val="none" w:sz="0" w:space="0" w:color="auto"/>
        <w:left w:val="none" w:sz="0" w:space="0" w:color="auto"/>
        <w:bottom w:val="none" w:sz="0" w:space="0" w:color="auto"/>
        <w:right w:val="none" w:sz="0" w:space="0" w:color="auto"/>
      </w:divBdr>
    </w:div>
    <w:div w:id="1332640935">
      <w:bodyDiv w:val="1"/>
      <w:marLeft w:val="0"/>
      <w:marRight w:val="0"/>
      <w:marTop w:val="0"/>
      <w:marBottom w:val="0"/>
      <w:divBdr>
        <w:top w:val="none" w:sz="0" w:space="0" w:color="auto"/>
        <w:left w:val="none" w:sz="0" w:space="0" w:color="auto"/>
        <w:bottom w:val="none" w:sz="0" w:space="0" w:color="auto"/>
        <w:right w:val="none" w:sz="0" w:space="0" w:color="auto"/>
      </w:divBdr>
    </w:div>
    <w:div w:id="1541161822">
      <w:bodyDiv w:val="1"/>
      <w:marLeft w:val="0"/>
      <w:marRight w:val="0"/>
      <w:marTop w:val="0"/>
      <w:marBottom w:val="0"/>
      <w:divBdr>
        <w:top w:val="none" w:sz="0" w:space="0" w:color="auto"/>
        <w:left w:val="none" w:sz="0" w:space="0" w:color="auto"/>
        <w:bottom w:val="none" w:sz="0" w:space="0" w:color="auto"/>
        <w:right w:val="none" w:sz="0" w:space="0" w:color="auto"/>
      </w:divBdr>
    </w:div>
    <w:div w:id="15865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949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CP/Lcp137.htm" TargetMode="External"/><Relationship Id="rId4" Type="http://schemas.openxmlformats.org/officeDocument/2006/relationships/settings" Target="settings.xml"/><Relationship Id="rId9" Type="http://schemas.openxmlformats.org/officeDocument/2006/relationships/hyperlink" Target="http://www.planalto.gov.br/ccivil_03/LEIS/1989_1994/L8374.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BDC3-F970-4B4C-BC4F-F5E60C20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13</Pages>
  <Words>5209</Words>
  <Characters>28134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inez.ruediger</dc:creator>
  <cp:lastModifiedBy>Inez Gonçalves Passos Ruediger</cp:lastModifiedBy>
  <cp:revision>18</cp:revision>
  <cp:lastPrinted>2020-03-17T21:50:00Z</cp:lastPrinted>
  <dcterms:created xsi:type="dcterms:W3CDTF">2021-04-08T13:42:00Z</dcterms:created>
  <dcterms:modified xsi:type="dcterms:W3CDTF">2021-04-30T17:42:00Z</dcterms:modified>
</cp:coreProperties>
</file>