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2"/>
        <w:jc w:val="left"/>
        <w:rPr>
          <w:rFonts w:ascii="Times New Roman"/>
          <w:sz w:val="25"/>
        </w:rPr>
      </w:pPr>
    </w:p>
    <w:p>
      <w:pPr>
        <w:pStyle w:val="Title"/>
        <w:spacing w:line="616" w:lineRule="auto"/>
      </w:pPr>
      <w:r>
        <w:rPr/>
        <w:t>RELATÓRIO DE SUSTENTABILIDADE</w:t>
      </w:r>
      <w:r>
        <w:rPr>
          <w:spacing w:val="-75"/>
        </w:rPr>
        <w:t> </w:t>
      </w:r>
      <w:r>
        <w:rPr/>
        <w:t>2019-2020</w:t>
      </w:r>
    </w:p>
    <w:p>
      <w:pPr>
        <w:spacing w:after="0" w:line="616" w:lineRule="auto"/>
        <w:sectPr>
          <w:headerReference w:type="default" r:id="rId5"/>
          <w:footerReference w:type="default" r:id="rId6"/>
          <w:type w:val="continuous"/>
          <w:pgSz w:w="11920" w:h="16850"/>
          <w:pgMar w:header="568" w:footer="941" w:top="1480" w:bottom="1140" w:left="1500" w:right="1040"/>
          <w:pgNumType w:start="1"/>
        </w:sectPr>
      </w:pPr>
    </w:p>
    <w:p>
      <w:pPr>
        <w:pStyle w:val="BodyText"/>
        <w:spacing w:line="360" w:lineRule="auto" w:before="178"/>
        <w:ind w:left="204" w:right="228" w:firstLine="1415"/>
      </w:pPr>
      <w:r>
        <w:rPr/>
        <w:t>O Relatório de Sustentabilidade é uma das principais ferramentas de</w:t>
      </w:r>
      <w:r>
        <w:rPr>
          <w:spacing w:val="1"/>
        </w:rPr>
        <w:t> </w:t>
      </w:r>
      <w:r>
        <w:rPr/>
        <w:t>de gestão e divulgação de práticas sustentáveis onde uma Empresa descreve e</w:t>
      </w:r>
      <w:r>
        <w:rPr>
          <w:spacing w:val="1"/>
        </w:rPr>
        <w:t> </w:t>
      </w:r>
      <w:r>
        <w:rPr/>
        <w:t>efetua a prestação de contas perante a sociedade sobre</w:t>
      </w:r>
      <w:r>
        <w:rPr>
          <w:spacing w:val="1"/>
        </w:rPr>
        <w:t> </w:t>
      </w:r>
      <w:r>
        <w:rPr/>
        <w:t>sua atuação em ações de</w:t>
      </w:r>
      <w:r>
        <w:rPr>
          <w:spacing w:val="-64"/>
        </w:rPr>
        <w:t> </w:t>
      </w:r>
      <w:r>
        <w:rPr/>
        <w:t>ecoeficiência</w:t>
      </w:r>
      <w:r>
        <w:rPr>
          <w:spacing w:val="-1"/>
        </w:rPr>
        <w:t> </w:t>
      </w:r>
      <w:r>
        <w:rPr/>
        <w:t>e para</w:t>
      </w:r>
      <w:r>
        <w:rPr>
          <w:spacing w:val="-2"/>
        </w:rPr>
        <w:t> </w:t>
      </w:r>
      <w:r>
        <w:rPr/>
        <w:t>mitigação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ou redução</w:t>
      </w:r>
      <w:r>
        <w:rPr>
          <w:spacing w:val="2"/>
        </w:rPr>
        <w:t> </w:t>
      </w:r>
      <w:r>
        <w:rPr/>
        <w:t>de impactos</w:t>
      </w:r>
      <w:r>
        <w:rPr>
          <w:spacing w:val="-4"/>
        </w:rPr>
        <w:t> </w:t>
      </w:r>
      <w:r>
        <w:rPr/>
        <w:t>ambientais.</w:t>
      </w:r>
    </w:p>
    <w:p>
      <w:pPr>
        <w:pStyle w:val="BodyText"/>
        <w:spacing w:line="360" w:lineRule="auto" w:before="94"/>
        <w:ind w:left="204" w:right="233" w:firstLine="1415"/>
      </w:pP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ABGF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estruturado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eixos:</w:t>
      </w:r>
    </w:p>
    <w:p>
      <w:pPr>
        <w:pStyle w:val="ListParagraph"/>
        <w:numPr>
          <w:ilvl w:val="0"/>
          <w:numId w:val="1"/>
        </w:numPr>
        <w:tabs>
          <w:tab w:pos="1981" w:val="left" w:leader="none"/>
        </w:tabs>
        <w:spacing w:line="360" w:lineRule="auto" w:before="93" w:after="0"/>
        <w:ind w:left="1981" w:right="228" w:hanging="361"/>
        <w:jc w:val="both"/>
        <w:rPr>
          <w:sz w:val="24"/>
        </w:rPr>
      </w:pPr>
      <w:r>
        <w:rPr>
          <w:sz w:val="24"/>
        </w:rPr>
        <w:t>Negocial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32"/>
          <w:sz w:val="24"/>
        </w:rPr>
        <w:t> </w:t>
      </w:r>
      <w:r>
        <w:rPr>
          <w:sz w:val="24"/>
        </w:rPr>
        <w:t>abrange</w:t>
      </w:r>
      <w:r>
        <w:rPr>
          <w:spacing w:val="31"/>
          <w:sz w:val="24"/>
        </w:rPr>
        <w:t> </w:t>
      </w:r>
      <w:r>
        <w:rPr>
          <w:sz w:val="24"/>
        </w:rPr>
        <w:t>políticas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diretrizes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orientam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atuação</w:t>
      </w:r>
      <w:r>
        <w:rPr>
          <w:spacing w:val="-64"/>
          <w:sz w:val="24"/>
        </w:rPr>
        <w:t> </w:t>
      </w:r>
      <w:r>
        <w:rPr>
          <w:sz w:val="24"/>
        </w:rPr>
        <w:t>da Empresa em suas linhas de negócios voltadas para estimular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clientes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manterem</w:t>
      </w:r>
      <w:r>
        <w:rPr>
          <w:spacing w:val="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sustentáveis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visem</w:t>
      </w:r>
      <w:r>
        <w:rPr>
          <w:spacing w:val="-64"/>
          <w:sz w:val="24"/>
        </w:rPr>
        <w:t> </w:t>
      </w:r>
      <w:r>
        <w:rPr>
          <w:sz w:val="24"/>
        </w:rPr>
        <w:t>preservar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-3"/>
          <w:sz w:val="24"/>
        </w:rPr>
        <w:t> </w:t>
      </w:r>
      <w:r>
        <w:rPr>
          <w:sz w:val="24"/>
        </w:rPr>
        <w:t>o meio ambiente;</w:t>
      </w:r>
    </w:p>
    <w:p>
      <w:pPr>
        <w:pStyle w:val="ListParagraph"/>
        <w:numPr>
          <w:ilvl w:val="0"/>
          <w:numId w:val="1"/>
        </w:numPr>
        <w:tabs>
          <w:tab w:pos="2049" w:val="left" w:leader="none"/>
        </w:tabs>
        <w:spacing w:line="350" w:lineRule="auto" w:before="90" w:after="0"/>
        <w:ind w:left="1981" w:right="227" w:hanging="361"/>
        <w:jc w:val="both"/>
        <w:rPr>
          <w:rFonts w:ascii="Tahoma" w:hAnsi="Tahoma"/>
          <w:sz w:val="27"/>
        </w:rPr>
      </w:pPr>
      <w:r>
        <w:rPr/>
        <w:tab/>
      </w:r>
      <w:r>
        <w:rPr>
          <w:sz w:val="24"/>
        </w:rPr>
        <w:t>Socioambiental – envolve as ações desenvolvidas pela Empresa,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contribuir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indiretamente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sustentabilidade.</w:t>
      </w:r>
    </w:p>
    <w:p>
      <w:pPr>
        <w:pStyle w:val="BodyText"/>
        <w:spacing w:line="360" w:lineRule="auto" w:before="101"/>
        <w:ind w:left="101" w:right="223" w:firstLine="1439"/>
      </w:pPr>
      <w:r>
        <w:rPr/>
        <w:t>Sob a perspectiva negocial, no período de janeiro a setembro/2019,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atuou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Exportação voltadas para o segmento de MPME. Para tanto, foi aprovada a Política</w:t>
      </w:r>
      <w:r>
        <w:rPr>
          <w:spacing w:val="1"/>
        </w:rPr>
        <w:t> </w:t>
      </w:r>
      <w:r>
        <w:rPr/>
        <w:t>de Subscrição de Risco, que visa estabelecer, dentre outras questões, critérios para</w:t>
      </w:r>
      <w:r>
        <w:rPr>
          <w:spacing w:val="1"/>
        </w:rPr>
        <w:t> </w:t>
      </w:r>
      <w:r>
        <w:rPr/>
        <w:t>aceitação de riscos, tanto na exposição de recursos próprios quanto na de recursos</w:t>
      </w:r>
      <w:r>
        <w:rPr>
          <w:spacing w:val="1"/>
        </w:rPr>
        <w:t> </w:t>
      </w:r>
      <w:r>
        <w:rPr/>
        <w:t>de fundos administrados. Desta forma, a Empresa incluiu em sua Política a diretriz a</w:t>
      </w:r>
      <w:r>
        <w:rPr>
          <w:spacing w:val="-64"/>
        </w:rPr>
        <w:t> </w:t>
      </w:r>
      <w:r>
        <w:rPr/>
        <w:t>não</w:t>
      </w:r>
      <w:r>
        <w:rPr>
          <w:spacing w:val="1"/>
        </w:rPr>
        <w:t> </w:t>
      </w:r>
      <w:r>
        <w:rPr/>
        <w:t>subscriçãode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proponente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controlador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ou judicialmente</w:t>
      </w:r>
      <w:r>
        <w:rPr>
          <w:spacing w:val="-2"/>
        </w:rPr>
        <w:t> </w:t>
      </w:r>
      <w:r>
        <w:rPr/>
        <w:t>por dano doloso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meio</w:t>
      </w:r>
      <w:r>
        <w:rPr>
          <w:spacing w:val="1"/>
        </w:rPr>
        <w:t> </w:t>
      </w:r>
      <w:r>
        <w:rPr/>
        <w:t>ambiente.</w:t>
      </w:r>
    </w:p>
    <w:p>
      <w:pPr>
        <w:pStyle w:val="BodyText"/>
        <w:spacing w:line="360" w:lineRule="auto" w:before="94"/>
        <w:ind w:left="101" w:right="222" w:firstLine="1439"/>
      </w:pPr>
      <w:r>
        <w:rPr/>
        <w:t>Ainda com relação ao Seguro de Crédito à Exportação, notadamente</w:t>
      </w:r>
      <w:r>
        <w:rPr>
          <w:spacing w:val="1"/>
        </w:rPr>
        <w:t> </w:t>
      </w:r>
      <w:r>
        <w:rPr/>
        <w:t>para o segmento de MLP (operações de prazo superior a dois anos), é verificado</w:t>
      </w:r>
      <w:r>
        <w:rPr>
          <w:spacing w:val="1"/>
        </w:rPr>
        <w:t> </w:t>
      </w:r>
      <w:r>
        <w:rPr/>
        <w:t>junto ao exportador se existem, dentre outras, condenações ou processos referentes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crime</w:t>
      </w:r>
      <w:r>
        <w:rPr>
          <w:spacing w:val="-2"/>
        </w:rPr>
        <w:t> </w:t>
      </w:r>
      <w:r>
        <w:rPr/>
        <w:t>ambiental.</w:t>
      </w:r>
    </w:p>
    <w:p>
      <w:pPr>
        <w:pStyle w:val="BodyText"/>
        <w:spacing w:line="360" w:lineRule="auto" w:before="94"/>
        <w:ind w:left="101" w:right="224" w:firstLine="1439"/>
      </w:pPr>
      <w:r>
        <w:rPr/>
        <w:t>Nesse mesmo sentido, são tambem realizadas consultas processuais</w:t>
      </w:r>
      <w:r>
        <w:rPr>
          <w:spacing w:val="1"/>
        </w:rPr>
        <w:t> </w:t>
      </w:r>
      <w:r>
        <w:rPr/>
        <w:t>relativas ao exportador junto a órgãos públicos, com o objetivo de identificar indícios</w:t>
      </w:r>
      <w:r>
        <w:rPr>
          <w:spacing w:val="1"/>
        </w:rPr>
        <w:t> </w:t>
      </w:r>
      <w:r>
        <w:rPr/>
        <w:t>ou efetiva ocorrência de crimes ambientais, atos de corrupção e crimes de lavagem</w:t>
      </w:r>
      <w:r>
        <w:rPr>
          <w:spacing w:val="1"/>
        </w:rPr>
        <w:t> </w:t>
      </w:r>
      <w:r>
        <w:rPr/>
        <w:t>de dinheiro.</w:t>
      </w:r>
    </w:p>
    <w:p>
      <w:pPr>
        <w:pStyle w:val="BodyText"/>
        <w:spacing w:line="360" w:lineRule="auto" w:before="91"/>
        <w:ind w:left="821" w:right="147" w:firstLine="720"/>
        <w:jc w:val="left"/>
      </w:pPr>
      <w:r>
        <w:rPr/>
        <w:t>Em</w:t>
      </w:r>
      <w:r>
        <w:rPr>
          <w:spacing w:val="18"/>
        </w:rPr>
        <w:t> </w:t>
      </w:r>
      <w:r>
        <w:rPr/>
        <w:t>ambos</w:t>
      </w:r>
      <w:r>
        <w:rPr>
          <w:spacing w:val="15"/>
        </w:rPr>
        <w:t> </w:t>
      </w:r>
      <w:r>
        <w:rPr/>
        <w:t>os</w:t>
      </w:r>
      <w:r>
        <w:rPr>
          <w:spacing w:val="17"/>
        </w:rPr>
        <w:t> </w:t>
      </w:r>
      <w:r>
        <w:rPr/>
        <w:t>casos,</w:t>
      </w:r>
      <w:r>
        <w:rPr>
          <w:spacing w:val="19"/>
        </w:rPr>
        <w:t> </w:t>
      </w:r>
      <w:r>
        <w:rPr/>
        <w:t>havendo</w:t>
      </w:r>
      <w:r>
        <w:rPr>
          <w:spacing w:val="18"/>
        </w:rPr>
        <w:t> </w:t>
      </w:r>
      <w:r>
        <w:rPr/>
        <w:t>confirmação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existência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tais</w:t>
      </w:r>
      <w:r>
        <w:rPr>
          <w:spacing w:val="-64"/>
        </w:rPr>
        <w:t> </w:t>
      </w:r>
      <w:r>
        <w:rPr/>
        <w:t>crimes, é</w:t>
      </w:r>
      <w:r>
        <w:rPr>
          <w:spacing w:val="-2"/>
        </w:rPr>
        <w:t> </w:t>
      </w:r>
      <w:r>
        <w:rPr/>
        <w:t>interrompido</w:t>
      </w:r>
      <w:r>
        <w:rPr>
          <w:spacing w:val="-1"/>
        </w:rPr>
        <w:t> </w:t>
      </w:r>
      <w:r>
        <w:rPr/>
        <w:t>o prosseguimento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operação.</w:t>
      </w:r>
    </w:p>
    <w:p>
      <w:pPr>
        <w:spacing w:after="0" w:line="360" w:lineRule="auto"/>
        <w:jc w:val="left"/>
        <w:sectPr>
          <w:pgSz w:w="11920" w:h="16850"/>
          <w:pgMar w:header="568" w:footer="941" w:top="1480" w:bottom="1160" w:left="1500" w:right="1040"/>
        </w:sectPr>
      </w:pPr>
    </w:p>
    <w:p>
      <w:pPr>
        <w:pStyle w:val="BodyText"/>
        <w:spacing w:line="360" w:lineRule="auto" w:before="87"/>
        <w:ind w:left="101" w:right="222" w:firstLine="1439"/>
      </w:pPr>
      <w:r>
        <w:rPr/>
        <w:t>Relativamente aos negócios em infraestrutura, a ABGF administra o</w:t>
      </w:r>
      <w:r>
        <w:rPr>
          <w:spacing w:val="1"/>
        </w:rPr>
        <w:t> </w:t>
      </w:r>
      <w:r>
        <w:rPr/>
        <w:t>Fundo Garantidor de Infraestrutura (FGIE), fundo de natureza privada, criado em</w:t>
      </w:r>
      <w:r>
        <w:rPr>
          <w:spacing w:val="1"/>
        </w:rPr>
        <w:t> </w:t>
      </w:r>
      <w:r>
        <w:rPr/>
        <w:t>2014, com a finalidade de garantir, direta ou indiretamente, cobertura para quaisquer</w:t>
      </w:r>
      <w:r>
        <w:rPr>
          <w:spacing w:val="-64"/>
        </w:rPr>
        <w:t> </w:t>
      </w:r>
      <w:r>
        <w:rPr/>
        <w:t>riscos,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gerenciáveis,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concessões,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formas</w:t>
      </w:r>
      <w:r>
        <w:rPr>
          <w:spacing w:val="2"/>
        </w:rPr>
        <w:t> </w:t>
      </w:r>
      <w:r>
        <w:rPr/>
        <w:t>previstas em</w:t>
      </w:r>
      <w:r>
        <w:rPr>
          <w:spacing w:val="1"/>
        </w:rPr>
        <w:t> </w:t>
      </w:r>
      <w:r>
        <w:rPr/>
        <w:t>seu</w:t>
      </w:r>
      <w:r>
        <w:rPr>
          <w:spacing w:val="-3"/>
        </w:rPr>
        <w:t> </w:t>
      </w:r>
      <w:r>
        <w:rPr/>
        <w:t>Estatuto.</w:t>
      </w:r>
    </w:p>
    <w:p>
      <w:pPr>
        <w:pStyle w:val="BodyText"/>
        <w:spacing w:line="360" w:lineRule="auto" w:before="92"/>
        <w:ind w:left="101" w:right="219" w:firstLine="1439"/>
      </w:pPr>
      <w:r>
        <w:rPr/>
        <w:t>Nesse sentido, no Regulamento do FGIE relativo a cobertura de riscos</w:t>
      </w:r>
      <w:r>
        <w:rPr>
          <w:spacing w:val="1"/>
        </w:rPr>
        <w:t> </w:t>
      </w:r>
      <w:r>
        <w:rPr/>
        <w:t>de descumprimento de obrigações pecuniárias assumidas pelo parceiro público em</w:t>
      </w:r>
      <w:r>
        <w:rPr>
          <w:spacing w:val="1"/>
        </w:rPr>
        <w:t> </w:t>
      </w:r>
      <w:r>
        <w:rPr/>
        <w:t>contratos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parcerias</w:t>
      </w:r>
      <w:r>
        <w:rPr>
          <w:spacing w:val="32"/>
        </w:rPr>
        <w:t> </w:t>
      </w:r>
      <w:r>
        <w:rPr/>
        <w:t>público</w:t>
      </w:r>
      <w:r>
        <w:rPr>
          <w:spacing w:val="30"/>
        </w:rPr>
        <w:t> </w:t>
      </w:r>
      <w:r>
        <w:rPr/>
        <w:t>privadas</w:t>
      </w:r>
      <w:r>
        <w:rPr>
          <w:spacing w:val="33"/>
        </w:rPr>
        <w:t> </w:t>
      </w:r>
      <w:r>
        <w:rPr/>
        <w:t>(PPP),</w:t>
      </w:r>
      <w:r>
        <w:rPr>
          <w:spacing w:val="31"/>
        </w:rPr>
        <w:t> </w:t>
      </w:r>
      <w:r>
        <w:rPr/>
        <w:t>há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obrigação</w:t>
      </w:r>
      <w:r>
        <w:rPr>
          <w:spacing w:val="32"/>
        </w:rPr>
        <w:t> </w:t>
      </w:r>
      <w:r>
        <w:rPr/>
        <w:t>expressa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incluir</w:t>
      </w:r>
      <w:r>
        <w:rPr>
          <w:spacing w:val="-65"/>
        </w:rPr>
        <w:t> </w:t>
      </w:r>
      <w:r>
        <w:rPr/>
        <w:t>nos instrumentos de formalização da PPP a ser garantida pelo fundo, cláusulas</w:t>
      </w:r>
      <w:r>
        <w:rPr>
          <w:spacing w:val="1"/>
        </w:rPr>
        <w:t> </w:t>
      </w:r>
      <w:r>
        <w:rPr/>
        <w:t>voltadas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preceitos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socioambiental</w:t>
      </w:r>
      <w:r>
        <w:rPr>
          <w:spacing w:val="-4"/>
        </w:rPr>
        <w:t> </w:t>
      </w:r>
      <w:r>
        <w:rPr/>
        <w:t>brasileira.</w:t>
      </w:r>
    </w:p>
    <w:p>
      <w:pPr>
        <w:pStyle w:val="BodyText"/>
        <w:spacing w:line="360" w:lineRule="auto" w:before="93"/>
        <w:ind w:left="101" w:right="221" w:firstLine="1439"/>
      </w:pP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negócios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sustentáveis,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proteção à saúde pública e qualidade ambiental, mediante reutilização, </w:t>
      </w:r>
      <w:hyperlink r:id="rId7">
        <w:r>
          <w:rPr/>
          <w:t>reciclagem </w:t>
        </w:r>
      </w:hyperlink>
      <w:r>
        <w:rPr/>
        <w:t>e</w:t>
      </w:r>
      <w:r>
        <w:rPr>
          <w:spacing w:val="-64"/>
        </w:rPr>
        <w:t> </w:t>
      </w:r>
      <w:r>
        <w:rPr/>
        <w:t>tratamento dos resíduos solidos, celebrou-se a prestação de garantias com recursos</w:t>
      </w:r>
      <w:r>
        <w:rPr>
          <w:spacing w:val="-64"/>
        </w:rPr>
        <w:t> </w:t>
      </w:r>
      <w:r>
        <w:rPr/>
        <w:t>do FGIE, com relação a</w:t>
      </w:r>
      <w:r>
        <w:rPr>
          <w:spacing w:val="67"/>
        </w:rPr>
        <w:t> </w:t>
      </w:r>
      <w:r>
        <w:rPr/>
        <w:t>Parceria Pública Privada firmada pelo município de Salto,</w:t>
      </w:r>
      <w:r>
        <w:rPr>
          <w:spacing w:val="1"/>
        </w:rPr>
        <w:t> </w:t>
      </w:r>
      <w:r>
        <w:rPr/>
        <w:t>no estado de São Paulo e a empresa CSO Ambiental de Salto SPE S/A, para</w:t>
      </w:r>
      <w:r>
        <w:rPr>
          <w:spacing w:val="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 serviços</w:t>
      </w:r>
      <w:r>
        <w:rPr>
          <w:spacing w:val="-1"/>
        </w:rPr>
        <w:t> </w:t>
      </w:r>
      <w:r>
        <w:rPr/>
        <w:t>de coleta</w:t>
      </w:r>
      <w:r>
        <w:rPr>
          <w:spacing w:val="-2"/>
        </w:rPr>
        <w:t> </w:t>
      </w:r>
      <w:r>
        <w:rPr/>
        <w:t>e tratamento</w:t>
      </w:r>
      <w:r>
        <w:rPr>
          <w:spacing w:val="-3"/>
        </w:rPr>
        <w:t> </w:t>
      </w:r>
      <w:r>
        <w:rPr/>
        <w:t>de resíduos</w:t>
      </w:r>
      <w:r>
        <w:rPr>
          <w:spacing w:val="-4"/>
        </w:rPr>
        <w:t> </w:t>
      </w:r>
      <w:r>
        <w:rPr/>
        <w:t>sólidos.</w:t>
      </w:r>
    </w:p>
    <w:p>
      <w:pPr>
        <w:pStyle w:val="BodyText"/>
        <w:spacing w:line="360" w:lineRule="auto" w:before="95"/>
        <w:ind w:left="101" w:right="227" w:firstLine="1439"/>
      </w:pPr>
      <w:r>
        <w:rPr/>
        <w:t>Relativamente ao eixo socioambiental, no desenvolvimento das ações</w:t>
      </w:r>
      <w:r>
        <w:rPr>
          <w:spacing w:val="1"/>
        </w:rPr>
        <w:t> </w:t>
      </w:r>
      <w:r>
        <w:rPr/>
        <w:t>voltadas para</w:t>
      </w:r>
      <w:r>
        <w:rPr>
          <w:spacing w:val="1"/>
        </w:rPr>
        <w:t> </w:t>
      </w:r>
      <w:r>
        <w:rPr/>
        <w:t>desenvolvimento sustentável, buscou-se estimular o comportamento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sustentáveis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 a</w:t>
      </w:r>
      <w:r>
        <w:rPr>
          <w:spacing w:val="-1"/>
        </w:rPr>
        <w:t> </w:t>
      </w:r>
      <w:r>
        <w:rPr/>
        <w:t>reduzir</w:t>
      </w:r>
      <w:r>
        <w:rPr>
          <w:spacing w:val="-2"/>
        </w:rPr>
        <w:t> </w:t>
      </w:r>
      <w:r>
        <w:rPr/>
        <w:t>danos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meio</w:t>
      </w:r>
      <w:r>
        <w:rPr>
          <w:spacing w:val="-4"/>
        </w:rPr>
        <w:t> </w:t>
      </w:r>
      <w:r>
        <w:rPr/>
        <w:t>ambiente.</w:t>
      </w: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0" w:lineRule="auto" w:before="115" w:after="0"/>
        <w:ind w:left="1661" w:right="0" w:hanging="1336"/>
        <w:jc w:val="left"/>
      </w:pPr>
      <w:r>
        <w:rPr/>
        <w:t>Coleta</w:t>
      </w:r>
      <w:r>
        <w:rPr>
          <w:spacing w:val="-2"/>
        </w:rPr>
        <w:t> </w:t>
      </w:r>
      <w:r>
        <w:rPr/>
        <w:t>Seletiva</w:t>
      </w:r>
    </w:p>
    <w:p>
      <w:pPr>
        <w:pStyle w:val="BodyText"/>
        <w:spacing w:line="360" w:lineRule="auto" w:before="139"/>
        <w:ind w:left="204" w:right="223" w:firstLine="1456"/>
      </w:pPr>
      <w:r>
        <w:rPr/>
        <w:t>Desde a mudança de endereço da sede da ABGF, a Empresa aderiu</w:t>
      </w:r>
      <w:r>
        <w:rPr>
          <w:spacing w:val="1"/>
        </w:rPr>
        <w:t> </w:t>
      </w:r>
      <w:r>
        <w:rPr/>
        <w:t>ao programa de gestão ambiental de resíduos do Condomínio do Edifício Corporate</w:t>
      </w:r>
      <w:r>
        <w:rPr>
          <w:spacing w:val="-64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Center.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resíduos,</w:t>
      </w:r>
      <w:r>
        <w:rPr>
          <w:spacing w:val="1"/>
        </w:rPr>
        <w:t> </w:t>
      </w:r>
      <w:r>
        <w:rPr/>
        <w:t>minimizando o descarte incorreto no meio ambiente de dejetos tais como: plástico,</w:t>
      </w:r>
      <w:r>
        <w:rPr>
          <w:spacing w:val="1"/>
        </w:rPr>
        <w:t> </w:t>
      </w:r>
      <w:r>
        <w:rPr/>
        <w:t>metal,</w:t>
      </w:r>
      <w:r>
        <w:rPr>
          <w:spacing w:val="-1"/>
        </w:rPr>
        <w:t> </w:t>
      </w:r>
      <w:r>
        <w:rPr/>
        <w:t>vidro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sucata</w:t>
      </w:r>
      <w:r>
        <w:rPr>
          <w:spacing w:val="-1"/>
        </w:rPr>
        <w:t> </w:t>
      </w:r>
      <w:r>
        <w:rPr/>
        <w:t>eletrônica,</w:t>
      </w:r>
      <w:r>
        <w:rPr>
          <w:spacing w:val="-3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incentivar a reciclagem.</w:t>
      </w:r>
    </w:p>
    <w:p>
      <w:pPr>
        <w:pStyle w:val="BodyText"/>
        <w:spacing w:line="360" w:lineRule="auto" w:before="2"/>
        <w:ind w:left="204" w:right="223" w:firstLine="1456"/>
      </w:pPr>
      <w:r>
        <w:rPr/>
        <w:t>Foram instaladas e vem sendo mantidas</w:t>
      </w:r>
      <w:r>
        <w:rPr>
          <w:spacing w:val="66"/>
        </w:rPr>
        <w:t> </w:t>
      </w:r>
      <w:r>
        <w:rPr/>
        <w:t>lixeiras coletivas em 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ambientes,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descarte correto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resíduos.</w:t>
      </w:r>
    </w:p>
    <w:p>
      <w:pPr>
        <w:pStyle w:val="BodyText"/>
        <w:spacing w:line="360" w:lineRule="auto"/>
        <w:ind w:left="204" w:right="228" w:firstLine="1456"/>
      </w:pPr>
      <w:r>
        <w:rPr/>
        <w:t>Outra importante ação, em relação a redução de resíduos poluentes,</w:t>
      </w:r>
      <w:r>
        <w:rPr>
          <w:spacing w:val="1"/>
        </w:rPr>
        <w:t> </w:t>
      </w:r>
      <w:r>
        <w:rPr/>
        <w:t>foi a estimulação do uso de copos reutiliáveis disponibilizados aos funcionários pela</w:t>
      </w:r>
      <w:r>
        <w:rPr>
          <w:spacing w:val="-64"/>
        </w:rPr>
        <w:t> </w:t>
      </w:r>
      <w:r>
        <w:rPr/>
        <w:t>Empresa em</w:t>
      </w:r>
      <w:r>
        <w:rPr>
          <w:spacing w:val="-1"/>
        </w:rPr>
        <w:t> </w:t>
      </w:r>
      <w:r>
        <w:rPr/>
        <w:t>detrimento ao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copos descartáveis.</w:t>
      </w:r>
    </w:p>
    <w:p>
      <w:pPr>
        <w:pStyle w:val="BodyText"/>
        <w:spacing w:before="1"/>
        <w:ind w:left="1661"/>
      </w:pPr>
      <w:r>
        <w:rPr/>
        <w:t>Ainda,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campo</w:t>
      </w:r>
      <w:r>
        <w:rPr>
          <w:spacing w:val="56"/>
        </w:rPr>
        <w:t> </w:t>
      </w:r>
      <w:r>
        <w:rPr/>
        <w:t>da</w:t>
      </w:r>
      <w:r>
        <w:rPr>
          <w:spacing w:val="54"/>
        </w:rPr>
        <w:t> </w:t>
      </w:r>
      <w:r>
        <w:rPr/>
        <w:t>gestão</w:t>
      </w:r>
      <w:r>
        <w:rPr>
          <w:spacing w:val="57"/>
        </w:rPr>
        <w:t> </w:t>
      </w:r>
      <w:r>
        <w:rPr/>
        <w:t>ambiental,</w:t>
      </w:r>
      <w:r>
        <w:rPr>
          <w:spacing w:val="56"/>
        </w:rPr>
        <w:t> </w:t>
      </w:r>
      <w:r>
        <w:rPr/>
        <w:t>importante</w:t>
      </w:r>
      <w:r>
        <w:rPr>
          <w:spacing w:val="57"/>
        </w:rPr>
        <w:t> </w:t>
      </w:r>
      <w:r>
        <w:rPr/>
        <w:t>destacar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a</w:t>
      </w:r>
    </w:p>
    <w:p>
      <w:pPr>
        <w:spacing w:after="0"/>
        <w:sectPr>
          <w:pgSz w:w="11920" w:h="16850"/>
          <w:pgMar w:header="568" w:footer="941" w:top="1480" w:bottom="1160" w:left="1500" w:right="1040"/>
        </w:sectPr>
      </w:pPr>
    </w:p>
    <w:p>
      <w:pPr>
        <w:pStyle w:val="BodyText"/>
        <w:spacing w:line="360" w:lineRule="auto" w:before="84"/>
        <w:ind w:left="204" w:right="147"/>
        <w:jc w:val="left"/>
      </w:pPr>
      <w:r>
        <w:rPr/>
        <w:t>Empresa</w:t>
      </w:r>
      <w:r>
        <w:rPr>
          <w:spacing w:val="10"/>
        </w:rPr>
        <w:t> </w:t>
      </w:r>
      <w:r>
        <w:rPr/>
        <w:t>manteve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uso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torneiras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banheiro</w:t>
      </w:r>
      <w:r>
        <w:rPr>
          <w:spacing w:val="12"/>
        </w:rPr>
        <w:t> </w:t>
      </w:r>
      <w:r>
        <w:rPr/>
        <w:t>temporizadas,</w:t>
      </w:r>
      <w:r>
        <w:rPr>
          <w:spacing w:val="22"/>
        </w:rPr>
        <w:t> </w:t>
      </w:r>
      <w:r>
        <w:rPr/>
        <w:t>objetivando</w:t>
      </w:r>
      <w:r>
        <w:rPr>
          <w:spacing w:val="11"/>
        </w:rPr>
        <w:t> </w:t>
      </w:r>
      <w:r>
        <w:rPr/>
        <w:t>evitar</w:t>
      </w:r>
      <w:r>
        <w:rPr>
          <w:spacing w:val="-63"/>
        </w:rPr>
        <w:t> </w:t>
      </w:r>
      <w:r>
        <w:rPr/>
        <w:t>o</w:t>
      </w:r>
      <w:r>
        <w:rPr>
          <w:spacing w:val="-1"/>
        </w:rPr>
        <w:t> </w:t>
      </w:r>
      <w:r>
        <w:rPr/>
        <w:t>desperdício de agua.</w:t>
      </w: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0" w:lineRule="auto" w:before="118" w:after="0"/>
        <w:ind w:left="1661" w:right="0" w:hanging="1400"/>
        <w:jc w:val="left"/>
      </w:pPr>
      <w:r>
        <w:rPr/>
        <w:t>Material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</w:p>
    <w:p>
      <w:pPr>
        <w:pStyle w:val="BodyText"/>
        <w:spacing w:line="360" w:lineRule="auto" w:before="120"/>
        <w:ind w:left="204" w:right="220" w:firstLine="1456"/>
      </w:pP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cartuchos/t</w:t>
      </w:r>
      <w:r>
        <w:rPr>
          <w:rFonts w:ascii="Arial" w:hAnsi="Arial"/>
          <w:i/>
        </w:rPr>
        <w:t>onners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ABGF</w:t>
      </w:r>
      <w:r>
        <w:rPr>
          <w:spacing w:val="1"/>
        </w:rPr>
        <w:t> </w:t>
      </w:r>
      <w:r>
        <w:rPr/>
        <w:t>reforçou o objetivo de redução de consumo. Por meio do sistema </w:t>
      </w:r>
      <w:r>
        <w:rPr>
          <w:rFonts w:ascii="Arial" w:hAnsi="Arial"/>
          <w:i/>
        </w:rPr>
        <w:t>outsourcing</w:t>
      </w:r>
      <w:r>
        <w:rPr/>
        <w:t>, que</w:t>
      </w:r>
      <w:r>
        <w:rPr>
          <w:spacing w:val="1"/>
        </w:rPr>
        <w:t> </w:t>
      </w:r>
      <w:r>
        <w:rPr/>
        <w:t>proporciona um maior controle em relação às impressões, as impressoras são</w:t>
      </w:r>
      <w:r>
        <w:rPr>
          <w:spacing w:val="1"/>
        </w:rPr>
        <w:t> </w:t>
      </w:r>
      <w:r>
        <w:rPr/>
        <w:t>configuradas no padrão de impressão frente e verso e no modo rascunho em preto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branco.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sobre a</w:t>
      </w:r>
      <w:r>
        <w:rPr>
          <w:spacing w:val="1"/>
        </w:rPr>
        <w:t> </w:t>
      </w:r>
      <w:r>
        <w:rPr/>
        <w:t>importância de substituir,</w:t>
      </w:r>
      <w:r>
        <w:rPr>
          <w:spacing w:val="1"/>
        </w:rPr>
        <w:t> </w:t>
      </w:r>
      <w:r>
        <w:rPr/>
        <w:t>sempre que</w:t>
      </w:r>
      <w:r>
        <w:rPr>
          <w:spacing w:val="1"/>
        </w:rPr>
        <w:t> </w:t>
      </w:r>
      <w:r>
        <w:rPr/>
        <w:t>possível,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 do</w:t>
      </w:r>
      <w:r>
        <w:rPr>
          <w:spacing w:val="1"/>
        </w:rPr>
        <w:t> </w:t>
      </w:r>
      <w:r>
        <w:rPr/>
        <w:t>documento impresso pelo documento digital nos procedimentos administrativos. Tal</w:t>
      </w:r>
      <w:r>
        <w:rPr>
          <w:spacing w:val="-64"/>
        </w:rPr>
        <w:t> </w:t>
      </w:r>
      <w:r>
        <w:rPr/>
        <w:t>ação foi</w:t>
      </w:r>
      <w:r>
        <w:rPr>
          <w:spacing w:val="1"/>
        </w:rPr>
        <w:t> </w:t>
      </w:r>
      <w:r>
        <w:rPr/>
        <w:t>reforçada</w:t>
      </w:r>
      <w:r>
        <w:rPr>
          <w:spacing w:val="1"/>
        </w:rPr>
        <w:t> </w:t>
      </w:r>
      <w:r>
        <w:rPr/>
        <w:t>a partir de março/2020, quando foi</w:t>
      </w:r>
      <w:r>
        <w:rPr>
          <w:spacing w:val="1"/>
        </w:rPr>
        <w:t> </w:t>
      </w:r>
      <w:r>
        <w:rPr/>
        <w:t>adotado o</w:t>
      </w:r>
      <w:r>
        <w:rPr>
          <w:spacing w:val="1"/>
        </w:rPr>
        <w:t> </w:t>
      </w:r>
      <w:r>
        <w:rPr>
          <w:rFonts w:ascii="Arial" w:hAnsi="Arial"/>
          <w:i/>
        </w:rPr>
        <w:t>home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office</w:t>
      </w:r>
      <w:r>
        <w:rPr/>
        <w:t>,</w:t>
      </w:r>
      <w:r>
        <w:rPr>
          <w:spacing w:val="1"/>
        </w:rPr>
        <w:t> </w:t>
      </w:r>
      <w:r>
        <w:rPr/>
        <w:t>motivado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pandemia.</w:t>
      </w:r>
    </w:p>
    <w:p>
      <w:pPr>
        <w:pStyle w:val="BodyText"/>
        <w:spacing w:line="360" w:lineRule="auto" w:before="124"/>
        <w:ind w:left="204" w:right="226" w:firstLine="1776"/>
      </w:pP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reforçou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troca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lâmpadas</w:t>
      </w:r>
      <w:r>
        <w:rPr>
          <w:spacing w:val="1"/>
        </w:rPr>
        <w:t> </w:t>
      </w:r>
      <w:r>
        <w:rPr/>
        <w:t>incandescentes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lâmpadas</w:t>
      </w:r>
      <w:r>
        <w:rPr>
          <w:spacing w:val="1"/>
        </w:rPr>
        <w:t> </w:t>
      </w:r>
      <w:r>
        <w:rPr/>
        <w:t>fluorescentes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LED,</w:t>
      </w:r>
      <w:r>
        <w:rPr>
          <w:spacing w:val="1"/>
        </w:rPr>
        <w:t> </w:t>
      </w:r>
      <w:r>
        <w:rPr/>
        <w:t>primando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energética.</w:t>
      </w:r>
    </w:p>
    <w:p>
      <w:pPr>
        <w:pStyle w:val="BodyText"/>
        <w:spacing w:line="362" w:lineRule="auto"/>
        <w:ind w:left="204" w:right="223" w:firstLine="1776"/>
      </w:pP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logística</w:t>
      </w:r>
      <w:r>
        <w:rPr>
          <w:spacing w:val="1"/>
        </w:rPr>
        <w:t> </w:t>
      </w:r>
      <w:r>
        <w:rPr/>
        <w:t>reversa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descarte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pilhas,</w:t>
      </w:r>
      <w:r>
        <w:rPr>
          <w:spacing w:val="1"/>
        </w:rPr>
        <w:t> </w:t>
      </w:r>
      <w:r>
        <w:rPr/>
        <w:t>baterias,</w:t>
      </w:r>
      <w:r>
        <w:rPr>
          <w:spacing w:val="1"/>
        </w:rPr>
        <w:t> </w:t>
      </w:r>
      <w:r>
        <w:rPr/>
        <w:t>cartuchos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rFonts w:ascii="Arial" w:hAnsi="Arial"/>
          <w:i/>
        </w:rPr>
        <w:t>tonners</w:t>
      </w:r>
      <w:r>
        <w:rPr>
          <w:rFonts w:ascii="Arial" w:hAnsi="Arial"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impressora,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coletores</w:t>
      </w:r>
      <w:r>
        <w:rPr>
          <w:spacing w:val="-64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instalados</w:t>
      </w:r>
      <w:r>
        <w:rPr>
          <w:spacing w:val="-2"/>
        </w:rPr>
        <w:t> </w:t>
      </w:r>
      <w:r>
        <w:rPr/>
        <w:t>no edifício.</w:t>
      </w: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0" w:lineRule="auto" w:before="110" w:after="0"/>
        <w:ind w:left="1661" w:right="0" w:hanging="1468"/>
        <w:jc w:val="left"/>
      </w:pPr>
      <w:r>
        <w:rPr/>
        <w:t>Compras</w:t>
      </w:r>
      <w:r>
        <w:rPr>
          <w:spacing w:val="-2"/>
        </w:rPr>
        <w:t> </w:t>
      </w:r>
      <w:r>
        <w:rPr/>
        <w:t>Sustentáveis</w:t>
      </w:r>
    </w:p>
    <w:p>
      <w:pPr>
        <w:pStyle w:val="BodyText"/>
        <w:spacing w:line="360" w:lineRule="auto" w:before="142"/>
        <w:ind w:left="204" w:right="416" w:firstLine="1456"/>
        <w:jc w:val="left"/>
      </w:pPr>
      <w:r>
        <w:rPr/>
        <w:t>A ABGF adota em seus processos de aquisições de bens e serviços</w:t>
      </w:r>
      <w:r>
        <w:rPr>
          <w:spacing w:val="-64"/>
        </w:rPr>
        <w:t> </w:t>
      </w:r>
      <w:r>
        <w:rPr/>
        <w:t>critérios de sustentabilidade, em consonância com a classificação do GUIA</w:t>
      </w:r>
      <w:r>
        <w:rPr>
          <w:spacing w:val="1"/>
        </w:rPr>
        <w:t> </w:t>
      </w:r>
      <w:r>
        <w:rPr/>
        <w:t>NACIONAL DE CONTRATAÇÕES</w:t>
      </w:r>
      <w:r>
        <w:rPr>
          <w:spacing w:val="-1"/>
        </w:rPr>
        <w:t> </w:t>
      </w:r>
      <w:r>
        <w:rPr/>
        <w:t>SUSTENTÁVEIS</w:t>
      </w:r>
      <w:r>
        <w:rPr>
          <w:spacing w:val="1"/>
        </w:rPr>
        <w:t> </w:t>
      </w:r>
      <w:r>
        <w:rPr/>
        <w:t>– 3ª</w:t>
      </w:r>
      <w:r>
        <w:rPr>
          <w:spacing w:val="-3"/>
        </w:rPr>
        <w:t> </w:t>
      </w:r>
      <w:r>
        <w:rPr/>
        <w:t>EDIÇÃO</w:t>
      </w:r>
      <w:r>
        <w:rPr>
          <w:spacing w:val="-3"/>
        </w:rPr>
        <w:t> </w:t>
      </w:r>
      <w:r>
        <w:rPr/>
        <w:t>ABR/2020,</w:t>
      </w:r>
      <w:r>
        <w:rPr>
          <w:spacing w:val="-3"/>
        </w:rPr>
        <w:t> </w:t>
      </w:r>
      <w:r>
        <w:rPr/>
        <w:t>da</w:t>
      </w:r>
    </w:p>
    <w:p>
      <w:pPr>
        <w:spacing w:line="360" w:lineRule="auto" w:before="1"/>
        <w:ind w:left="204" w:right="614" w:firstLine="0"/>
        <w:jc w:val="left"/>
        <w:rPr>
          <w:sz w:val="22"/>
        </w:rPr>
      </w:pPr>
      <w:r>
        <w:rPr>
          <w:sz w:val="24"/>
        </w:rPr>
        <w:t>AGU, disponível: </w:t>
      </w:r>
      <w:hyperlink r:id="rId8">
        <w:r>
          <w:rPr>
            <w:sz w:val="22"/>
            <w:u w:val="single"/>
          </w:rPr>
          <w:t>https://www.gov.br/agu/pt-br/composicao/consultoria-geral-da-uniao-</w:t>
        </w:r>
      </w:hyperlink>
      <w:r>
        <w:rPr>
          <w:spacing w:val="-59"/>
          <w:sz w:val="22"/>
        </w:rPr>
        <w:t> </w:t>
      </w:r>
      <w:hyperlink r:id="rId8">
        <w:r>
          <w:rPr>
            <w:sz w:val="22"/>
            <w:u w:val="single"/>
          </w:rPr>
          <w:t>1/modelos-de-convenios-licitacoes-e-contratos/modelos-de-licitacoes-e-</w:t>
        </w:r>
      </w:hyperlink>
      <w:r>
        <w:rPr>
          <w:spacing w:val="1"/>
          <w:sz w:val="22"/>
        </w:rPr>
        <w:t> </w:t>
      </w:r>
      <w:hyperlink r:id="rId8">
        <w:r>
          <w:rPr>
            <w:sz w:val="22"/>
            <w:u w:val="single"/>
          </w:rPr>
          <w:t>contratos/licitacoes-sustentaveis </w:t>
        </w:r>
      </w:hyperlink>
      <w:r>
        <w:rPr>
          <w:sz w:val="22"/>
          <w:u w:val="single"/>
        </w:rPr>
        <w:t>.</w:t>
      </w: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0" w:lineRule="auto" w:before="117" w:after="0"/>
        <w:ind w:left="1661" w:right="0" w:hanging="1494"/>
        <w:jc w:val="left"/>
      </w:pPr>
      <w:r>
        <w:rPr/>
        <w:t>Deslocamento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Pessoal</w:t>
      </w:r>
    </w:p>
    <w:p>
      <w:pPr>
        <w:pStyle w:val="BodyText"/>
        <w:spacing w:line="360" w:lineRule="auto" w:before="141"/>
        <w:ind w:left="204" w:right="221" w:firstLine="1456"/>
      </w:pPr>
      <w:r>
        <w:rPr/>
        <w:t>Desde o encerramento das atividades na unidade Rio de Janeiro,</w:t>
      </w:r>
      <w:r>
        <w:rPr>
          <w:spacing w:val="1"/>
        </w:rPr>
        <w:t> </w:t>
      </w:r>
      <w:r>
        <w:rPr/>
        <w:t>ocorrida em outubro/2019, houve expressiva redução no deslocamento de pessoal</w:t>
      </w:r>
      <w:r>
        <w:rPr>
          <w:spacing w:val="1"/>
        </w:rPr>
        <w:t> </w:t>
      </w:r>
      <w:r>
        <w:rPr/>
        <w:t>e, ainda, em razão da adoção do sistema </w:t>
      </w:r>
      <w:r>
        <w:rPr>
          <w:rFonts w:ascii="Arial" w:hAnsi="Arial"/>
          <w:i/>
        </w:rPr>
        <w:t>home office</w:t>
      </w:r>
      <w:r>
        <w:rPr/>
        <w:t>, decorrente da pandemia do</w:t>
      </w:r>
      <w:r>
        <w:rPr>
          <w:spacing w:val="1"/>
        </w:rPr>
        <w:t> </w:t>
      </w:r>
      <w:r>
        <w:rPr/>
        <w:t>Coronavírus,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ABGF</w:t>
      </w:r>
      <w:r>
        <w:rPr>
          <w:spacing w:val="1"/>
        </w:rPr>
        <w:t> </w:t>
      </w:r>
      <w:r>
        <w:rPr/>
        <w:t>intensificou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videoconferência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disponibilizou, aos funcionários, as ferramentas tecnológicas necessárias para a</w:t>
      </w:r>
      <w:r>
        <w:rPr>
          <w:spacing w:val="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 suas</w:t>
      </w:r>
      <w:r>
        <w:rPr>
          <w:spacing w:val="-2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 remota.</w:t>
      </w: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0" w:lineRule="auto" w:before="121" w:after="0"/>
        <w:ind w:left="1661" w:right="0" w:hanging="1427"/>
        <w:jc w:val="left"/>
      </w:pPr>
      <w:r>
        <w:rPr/>
        <w:t>Telefonia</w:t>
      </w:r>
    </w:p>
    <w:p>
      <w:pPr>
        <w:spacing w:after="0" w:line="240" w:lineRule="auto"/>
        <w:jc w:val="left"/>
        <w:sectPr>
          <w:pgSz w:w="11920" w:h="16850"/>
          <w:pgMar w:header="568" w:footer="941" w:top="1480" w:bottom="1140" w:left="1500" w:right="1040"/>
        </w:sectPr>
      </w:pPr>
    </w:p>
    <w:p>
      <w:pPr>
        <w:pStyle w:val="BodyText"/>
        <w:spacing w:line="360" w:lineRule="auto" w:before="84"/>
        <w:ind w:left="204" w:right="225" w:firstLine="1456"/>
      </w:pPr>
      <w:r>
        <w:rPr/>
        <w:t>A</w:t>
      </w:r>
      <w:r>
        <w:rPr>
          <w:spacing w:val="18"/>
        </w:rPr>
        <w:t> </w:t>
      </w:r>
      <w:r>
        <w:rPr/>
        <w:t>ABGF</w:t>
      </w:r>
      <w:r>
        <w:rPr>
          <w:spacing w:val="19"/>
        </w:rPr>
        <w:t> </w:t>
      </w:r>
      <w:r>
        <w:rPr/>
        <w:t>buscou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maximização</w:t>
      </w:r>
      <w:r>
        <w:rPr>
          <w:spacing w:val="14"/>
        </w:rPr>
        <w:t> </w:t>
      </w:r>
      <w:r>
        <w:rPr/>
        <w:t>da</w:t>
      </w:r>
      <w:r>
        <w:rPr>
          <w:spacing w:val="12"/>
        </w:rPr>
        <w:t> </w:t>
      </w:r>
      <w:r>
        <w:rPr/>
        <w:t>relação</w:t>
      </w:r>
      <w:r>
        <w:rPr>
          <w:spacing w:val="13"/>
        </w:rPr>
        <w:t> </w:t>
      </w:r>
      <w:r>
        <w:rPr/>
        <w:t>custo-benefício</w:t>
      </w:r>
      <w:r>
        <w:rPr>
          <w:spacing w:val="10"/>
        </w:rPr>
        <w:t> </w:t>
      </w:r>
      <w:r>
        <w:rPr/>
        <w:t>utilizando</w:t>
      </w:r>
      <w:r>
        <w:rPr>
          <w:spacing w:val="-64"/>
        </w:rPr>
        <w:t> </w:t>
      </w:r>
      <w:r>
        <w:rPr/>
        <w:t>o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VOIP</w:t>
      </w:r>
      <w:r>
        <w:rPr>
          <w:spacing w:val="-1"/>
        </w:rPr>
        <w:t> </w:t>
      </w:r>
      <w:r>
        <w:rPr/>
        <w:t>– </w:t>
      </w:r>
      <w:r>
        <w:rPr>
          <w:rFonts w:ascii="Arial" w:hAnsi="Arial"/>
          <w:i/>
        </w:rPr>
        <w:t>Voice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Over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IP</w:t>
      </w:r>
      <w:r>
        <w:rPr>
          <w:rFonts w:ascii="Arial" w:hAnsi="Arial"/>
          <w:i/>
          <w:spacing w:val="1"/>
        </w:rPr>
        <w:t> </w:t>
      </w:r>
      <w:r>
        <w:rPr/>
        <w:t>– com</w:t>
      </w:r>
      <w:r>
        <w:rPr>
          <w:spacing w:val="-3"/>
        </w:rPr>
        <w:t> </w:t>
      </w:r>
      <w:r>
        <w:rPr/>
        <w:t>a implementação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rotas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menor</w:t>
      </w:r>
      <w:r>
        <w:rPr>
          <w:spacing w:val="3"/>
        </w:rPr>
        <w:t> </w:t>
      </w:r>
      <w:r>
        <w:rPr/>
        <w:t>custo.</w:t>
      </w:r>
    </w:p>
    <w:p>
      <w:pPr>
        <w:pStyle w:val="Heading1"/>
        <w:numPr>
          <w:ilvl w:val="0"/>
          <w:numId w:val="2"/>
        </w:numPr>
        <w:tabs>
          <w:tab w:pos="1661" w:val="left" w:leader="none"/>
          <w:tab w:pos="1662" w:val="left" w:leader="none"/>
        </w:tabs>
        <w:spacing w:line="240" w:lineRule="auto" w:before="118" w:after="0"/>
        <w:ind w:left="1661" w:right="0" w:hanging="1494"/>
        <w:jc w:val="left"/>
      </w:pP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</w:p>
    <w:p>
      <w:pPr>
        <w:pStyle w:val="BodyText"/>
        <w:spacing w:line="360" w:lineRule="auto" w:before="142"/>
        <w:ind w:left="204" w:right="234" w:firstLine="1456"/>
      </w:pPr>
      <w:r>
        <w:rPr/>
        <w:t>Para assegurar a satisfação dos seus funcionários, a ABGF mantém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por 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buscam melhorar os</w:t>
      </w:r>
      <w:r>
        <w:rPr>
          <w:spacing w:val="1"/>
        </w:rPr>
        <w:t> </w:t>
      </w:r>
      <w:r>
        <w:rPr/>
        <w:t>estilos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prevenir</w:t>
      </w:r>
      <w:r>
        <w:rPr>
          <w:spacing w:val="-3"/>
        </w:rPr>
        <w:t> </w:t>
      </w:r>
      <w:r>
        <w:rPr/>
        <w:t>problemas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 entre</w:t>
      </w:r>
      <w:r>
        <w:rPr>
          <w:spacing w:val="1"/>
        </w:rPr>
        <w:t> </w:t>
      </w:r>
      <w:r>
        <w:rPr/>
        <w:t>os</w:t>
      </w:r>
      <w:r>
        <w:rPr>
          <w:spacing w:val="-5"/>
        </w:rPr>
        <w:t> </w:t>
      </w:r>
      <w:r>
        <w:rPr/>
        <w:t>funcionários.</w:t>
      </w:r>
    </w:p>
    <w:p>
      <w:pPr>
        <w:pStyle w:val="BodyText"/>
        <w:spacing w:line="360" w:lineRule="auto" w:before="140"/>
        <w:ind w:left="204" w:right="223" w:firstLine="1456"/>
      </w:pPr>
      <w:r>
        <w:rPr/>
        <w:t>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Cidadania,</w:t>
      </w:r>
      <w:r>
        <w:rPr>
          <w:spacing w:val="1"/>
        </w:rPr>
        <w:t> </w:t>
      </w:r>
      <w:r>
        <w:rPr/>
        <w:t>traz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sistêmica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clima</w:t>
      </w:r>
      <w:r>
        <w:rPr>
          <w:spacing w:val="1"/>
        </w:rPr>
        <w:t> </w:t>
      </w:r>
      <w:r>
        <w:rPr/>
        <w:t>organizacional,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valorização profissional, do incentivo de bons hábitos à saúde, da integração social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e dos</w:t>
      </w:r>
      <w:r>
        <w:rPr>
          <w:spacing w:val="-2"/>
        </w:rPr>
        <w:t> </w:t>
      </w:r>
      <w:r>
        <w:rPr/>
        <w:t>demais</w:t>
      </w:r>
      <w:r>
        <w:rPr>
          <w:spacing w:val="1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vida,</w:t>
      </w:r>
      <w:r>
        <w:rPr>
          <w:spacing w:val="-1"/>
        </w:rPr>
        <w:t> </w:t>
      </w:r>
      <w:r>
        <w:rPr/>
        <w:t>com destaque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temas:</w:t>
      </w:r>
    </w:p>
    <w:p>
      <w:pPr>
        <w:pStyle w:val="ListParagraph"/>
        <w:numPr>
          <w:ilvl w:val="0"/>
          <w:numId w:val="3"/>
        </w:numPr>
        <w:tabs>
          <w:tab w:pos="2382" w:val="left" w:leader="none"/>
        </w:tabs>
        <w:spacing w:line="350" w:lineRule="auto" w:before="140" w:after="0"/>
        <w:ind w:left="2381" w:right="228" w:hanging="480"/>
        <w:jc w:val="both"/>
        <w:rPr>
          <w:sz w:val="24"/>
        </w:rPr>
      </w:pPr>
      <w:r>
        <w:rPr>
          <w:rFonts w:ascii="Arial" w:hAnsi="Arial"/>
          <w:b/>
          <w:sz w:val="24"/>
        </w:rPr>
        <w:t>Saúde Física: </w:t>
      </w:r>
      <w:r>
        <w:rPr>
          <w:sz w:val="24"/>
        </w:rPr>
        <w:t>atividades ligadas ao corpo, saúde e segurança</w:t>
      </w:r>
      <w:r>
        <w:rPr>
          <w:spacing w:val="1"/>
          <w:sz w:val="24"/>
        </w:rPr>
        <w:t> </w:t>
      </w:r>
      <w:r>
        <w:rPr>
          <w:sz w:val="24"/>
        </w:rPr>
        <w:t>como atividade física, alimentação saudável, comportamento</w:t>
      </w:r>
      <w:r>
        <w:rPr>
          <w:spacing w:val="1"/>
          <w:sz w:val="24"/>
        </w:rPr>
        <w:t> </w:t>
      </w:r>
      <w:r>
        <w:rPr>
          <w:sz w:val="24"/>
        </w:rPr>
        <w:t>preventivo e seguro. Desde 2019 que ABGF possui parceria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SESC-DF para seus funcionários</w:t>
      </w:r>
      <w:r>
        <w:rPr>
          <w:spacing w:val="66"/>
          <w:sz w:val="24"/>
        </w:rPr>
        <w:t> </w:t>
      </w:r>
      <w:r>
        <w:rPr>
          <w:sz w:val="24"/>
        </w:rPr>
        <w:t>com</w:t>
      </w:r>
      <w:r>
        <w:rPr>
          <w:spacing w:val="67"/>
          <w:sz w:val="24"/>
        </w:rPr>
        <w:t> </w:t>
      </w:r>
      <w:r>
        <w:rPr>
          <w:sz w:val="24"/>
        </w:rPr>
        <w:t>a possibilidade</w:t>
      </w:r>
      <w:r>
        <w:rPr>
          <w:spacing w:val="1"/>
          <w:sz w:val="24"/>
        </w:rPr>
        <w:t> </w:t>
      </w:r>
      <w:r>
        <w:rPr>
          <w:sz w:val="24"/>
        </w:rPr>
        <w:t>de incluir os dependentes, com essa parceria os funcionários</w:t>
      </w:r>
      <w:r>
        <w:rPr>
          <w:spacing w:val="1"/>
          <w:sz w:val="24"/>
        </w:rPr>
        <w:t> </w:t>
      </w:r>
      <w:r>
        <w:rPr>
          <w:sz w:val="24"/>
        </w:rPr>
        <w:t>têm acesso a qualquer unidade do SESC-DF, para usufruir</w:t>
      </w:r>
      <w:r>
        <w:rPr>
          <w:spacing w:val="1"/>
          <w:sz w:val="24"/>
        </w:rPr>
        <w:t> </w:t>
      </w:r>
      <w:r>
        <w:rPr>
          <w:sz w:val="24"/>
        </w:rPr>
        <w:t>todos os beneficios com baixo custo, tais como: serviços de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-2"/>
          <w:sz w:val="24"/>
        </w:rPr>
        <w:t> </w:t>
      </w:r>
      <w:r>
        <w:rPr>
          <w:sz w:val="24"/>
        </w:rPr>
        <w:t>cursos,</w:t>
      </w:r>
      <w:r>
        <w:rPr>
          <w:spacing w:val="-1"/>
          <w:sz w:val="24"/>
        </w:rPr>
        <w:t> </w:t>
      </w:r>
      <w:r>
        <w:rPr>
          <w:sz w:val="24"/>
        </w:rPr>
        <w:t>prática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esportes,</w:t>
      </w:r>
      <w:r>
        <w:rPr>
          <w:spacing w:val="-1"/>
          <w:sz w:val="24"/>
        </w:rPr>
        <w:t> </w:t>
      </w:r>
      <w:r>
        <w:rPr>
          <w:sz w:val="24"/>
        </w:rPr>
        <w:t>turismo,</w:t>
      </w:r>
      <w:r>
        <w:rPr>
          <w:spacing w:val="-1"/>
          <w:sz w:val="24"/>
        </w:rPr>
        <w:t> </w:t>
      </w:r>
      <w:r>
        <w:rPr>
          <w:sz w:val="24"/>
        </w:rPr>
        <w:t>cultura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lazer.</w:t>
      </w:r>
    </w:p>
    <w:p>
      <w:pPr>
        <w:pStyle w:val="ListParagraph"/>
        <w:numPr>
          <w:ilvl w:val="0"/>
          <w:numId w:val="3"/>
        </w:numPr>
        <w:tabs>
          <w:tab w:pos="2382" w:val="left" w:leader="none"/>
        </w:tabs>
        <w:spacing w:line="240" w:lineRule="auto" w:before="5" w:after="0"/>
        <w:ind w:left="2381" w:right="117" w:hanging="534"/>
        <w:jc w:val="both"/>
        <w:rPr>
          <w:sz w:val="24"/>
        </w:rPr>
      </w:pPr>
      <w:r>
        <w:rPr>
          <w:rFonts w:ascii="Arial" w:hAnsi="Arial"/>
          <w:b/>
          <w:sz w:val="24"/>
        </w:rPr>
        <w:t>Cultura:</w:t>
      </w:r>
      <w:r>
        <w:rPr>
          <w:rFonts w:ascii="Arial" w:hAnsi="Arial"/>
          <w:b/>
          <w:spacing w:val="24"/>
          <w:sz w:val="24"/>
        </w:rPr>
        <w:t> </w:t>
      </w:r>
      <w:r>
        <w:rPr>
          <w:sz w:val="24"/>
        </w:rPr>
        <w:t>com</w:t>
      </w:r>
      <w:r>
        <w:rPr>
          <w:spacing w:val="24"/>
          <w:sz w:val="24"/>
        </w:rPr>
        <w:t> </w:t>
      </w:r>
      <w:r>
        <w:rPr>
          <w:sz w:val="24"/>
        </w:rPr>
        <w:t>atividades</w:t>
      </w:r>
      <w:r>
        <w:rPr>
          <w:spacing w:val="22"/>
          <w:sz w:val="24"/>
        </w:rPr>
        <w:t> </w:t>
      </w:r>
      <w:r>
        <w:rPr>
          <w:sz w:val="24"/>
        </w:rPr>
        <w:t>relacionadas</w:t>
      </w:r>
      <w:r>
        <w:rPr>
          <w:spacing w:val="23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música,</w:t>
      </w:r>
      <w:r>
        <w:rPr>
          <w:spacing w:val="23"/>
          <w:sz w:val="24"/>
        </w:rPr>
        <w:t> </w:t>
      </w:r>
      <w:r>
        <w:rPr>
          <w:sz w:val="24"/>
        </w:rPr>
        <w:t>teatro,</w:t>
      </w:r>
      <w:r>
        <w:rPr>
          <w:spacing w:val="23"/>
          <w:sz w:val="24"/>
        </w:rPr>
        <w:t> </w:t>
      </w:r>
      <w:r>
        <w:rPr>
          <w:sz w:val="24"/>
        </w:rPr>
        <w:t>cinema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leitura.</w:t>
      </w:r>
    </w:p>
    <w:p>
      <w:pPr>
        <w:pStyle w:val="ListParagraph"/>
        <w:numPr>
          <w:ilvl w:val="0"/>
          <w:numId w:val="3"/>
        </w:numPr>
        <w:tabs>
          <w:tab w:pos="2382" w:val="left" w:leader="none"/>
        </w:tabs>
        <w:spacing w:line="237" w:lineRule="auto" w:before="141" w:after="0"/>
        <w:ind w:left="2381" w:right="121" w:hanging="587"/>
        <w:jc w:val="both"/>
        <w:rPr>
          <w:sz w:val="24"/>
        </w:rPr>
      </w:pPr>
      <w:r>
        <w:rPr>
          <w:rFonts w:ascii="Arial" w:hAnsi="Arial"/>
          <w:b/>
          <w:sz w:val="24"/>
        </w:rPr>
        <w:t>Cidadania</w:t>
      </w:r>
      <w:r>
        <w:rPr>
          <w:sz w:val="24"/>
        </w:rPr>
        <w:t>: com coleta de doações e atividades voltadas ao</w:t>
      </w:r>
      <w:r>
        <w:rPr>
          <w:spacing w:val="1"/>
          <w:sz w:val="24"/>
        </w:rPr>
        <w:t> </w:t>
      </w:r>
      <w:r>
        <w:rPr>
          <w:sz w:val="24"/>
        </w:rPr>
        <w:t>bem-estar</w:t>
      </w:r>
      <w:r>
        <w:rPr>
          <w:spacing w:val="-25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3"/>
        </w:numPr>
        <w:tabs>
          <w:tab w:pos="2382" w:val="left" w:leader="none"/>
        </w:tabs>
        <w:spacing w:line="348" w:lineRule="auto" w:before="138" w:after="0"/>
        <w:ind w:left="2381" w:right="234" w:hanging="601"/>
        <w:jc w:val="both"/>
        <w:rPr>
          <w:sz w:val="24"/>
        </w:rPr>
      </w:pPr>
      <w:r>
        <w:rPr>
          <w:rFonts w:ascii="Arial" w:hAnsi="Arial"/>
          <w:b/>
          <w:sz w:val="24"/>
        </w:rPr>
        <w:t>Clima Organizacional: </w:t>
      </w:r>
      <w:r>
        <w:rPr>
          <w:sz w:val="24"/>
        </w:rPr>
        <w:t>com a realização de pesquisa de clima</w:t>
      </w:r>
      <w:r>
        <w:rPr>
          <w:spacing w:val="-64"/>
          <w:sz w:val="24"/>
        </w:rPr>
        <w:t> </w:t>
      </w:r>
      <w:r>
        <w:rPr>
          <w:sz w:val="24"/>
        </w:rPr>
        <w:t>organizacional</w:t>
      </w:r>
      <w:r>
        <w:rPr>
          <w:spacing w:val="-1"/>
          <w:sz w:val="24"/>
        </w:rPr>
        <w:t> </w:t>
      </w:r>
      <w:r>
        <w:rPr>
          <w:sz w:val="24"/>
        </w:rPr>
        <w:t>qualitativa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quantitativa,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outubro/2020.</w:t>
      </w:r>
    </w:p>
    <w:p>
      <w:pPr>
        <w:pStyle w:val="Heading1"/>
        <w:numPr>
          <w:ilvl w:val="0"/>
          <w:numId w:val="3"/>
        </w:numPr>
        <w:tabs>
          <w:tab w:pos="2382" w:val="left" w:leader="none"/>
        </w:tabs>
        <w:spacing w:line="240" w:lineRule="auto" w:before="144" w:after="0"/>
        <w:ind w:left="2381" w:right="116" w:hanging="531"/>
        <w:jc w:val="both"/>
        <w:rPr>
          <w:rFonts w:ascii="Arial MT" w:hAnsi="Arial MT"/>
          <w:sz w:val="22"/>
        </w:rPr>
      </w:pPr>
      <w:r>
        <w:rPr/>
        <w:t>Campanhas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física,</w:t>
      </w:r>
      <w:r>
        <w:rPr>
          <w:spacing w:val="-64"/>
        </w:rPr>
        <w:t> </w:t>
      </w:r>
      <w:r>
        <w:rPr/>
        <w:t>mental:</w:t>
      </w:r>
    </w:p>
    <w:p>
      <w:pPr>
        <w:pStyle w:val="ListParagraph"/>
        <w:numPr>
          <w:ilvl w:val="1"/>
          <w:numId w:val="3"/>
        </w:numPr>
        <w:tabs>
          <w:tab w:pos="2742" w:val="left" w:leader="none"/>
        </w:tabs>
        <w:spacing w:line="240" w:lineRule="auto" w:before="120" w:after="0"/>
        <w:ind w:left="2741" w:right="0" w:hanging="361"/>
        <w:jc w:val="both"/>
        <w:rPr>
          <w:sz w:val="24"/>
        </w:rPr>
      </w:pPr>
      <w:r>
        <w:rPr>
          <w:sz w:val="24"/>
        </w:rPr>
        <w:t>Janeiro</w:t>
      </w:r>
      <w:r>
        <w:rPr>
          <w:spacing w:val="-3"/>
          <w:sz w:val="24"/>
        </w:rPr>
        <w:t> </w:t>
      </w:r>
      <w:r>
        <w:rPr>
          <w:sz w:val="24"/>
        </w:rPr>
        <w:t>Branco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mês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cuidado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saúde</w:t>
      </w:r>
      <w:r>
        <w:rPr>
          <w:spacing w:val="-3"/>
          <w:sz w:val="24"/>
        </w:rPr>
        <w:t> </w:t>
      </w:r>
      <w:r>
        <w:rPr>
          <w:sz w:val="24"/>
        </w:rPr>
        <w:t>mental;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42" w:val="left" w:leader="none"/>
        </w:tabs>
        <w:spacing w:line="352" w:lineRule="auto" w:before="0" w:after="0"/>
        <w:ind w:left="2741" w:right="233" w:hanging="360"/>
        <w:jc w:val="both"/>
        <w:rPr>
          <w:sz w:val="24"/>
        </w:rPr>
      </w:pPr>
      <w:r>
        <w:rPr>
          <w:sz w:val="24"/>
        </w:rPr>
        <w:t>Fevereiro</w:t>
      </w:r>
      <w:r>
        <w:rPr>
          <w:spacing w:val="1"/>
          <w:sz w:val="24"/>
        </w:rPr>
        <w:t> </w:t>
      </w:r>
      <w:r>
        <w:rPr>
          <w:sz w:val="24"/>
        </w:rPr>
        <w:t>Roxo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1"/>
          <w:sz w:val="24"/>
        </w:rPr>
        <w:t> </w:t>
      </w:r>
      <w:r>
        <w:rPr>
          <w:sz w:val="24"/>
        </w:rPr>
        <w:t>dedicado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Lupus,</w:t>
      </w:r>
      <w:r>
        <w:rPr>
          <w:spacing w:val="1"/>
          <w:sz w:val="24"/>
        </w:rPr>
        <w:t> </w:t>
      </w:r>
      <w:r>
        <w:rPr>
          <w:sz w:val="24"/>
        </w:rPr>
        <w:t>Fribomialgia</w:t>
      </w:r>
      <w:r>
        <w:rPr>
          <w:spacing w:val="-1"/>
          <w:sz w:val="24"/>
        </w:rPr>
        <w:t> </w:t>
      </w:r>
      <w:r>
        <w:rPr>
          <w:sz w:val="24"/>
        </w:rPr>
        <w:t>e Alzheimer.</w:t>
      </w:r>
    </w:p>
    <w:p>
      <w:pPr>
        <w:pStyle w:val="ListParagraph"/>
        <w:numPr>
          <w:ilvl w:val="1"/>
          <w:numId w:val="3"/>
        </w:numPr>
        <w:tabs>
          <w:tab w:pos="2742" w:val="left" w:leader="none"/>
        </w:tabs>
        <w:spacing w:line="352" w:lineRule="auto" w:before="120" w:after="0"/>
        <w:ind w:left="2741" w:right="228" w:hanging="360"/>
        <w:jc w:val="both"/>
        <w:rPr>
          <w:sz w:val="24"/>
        </w:rPr>
      </w:pPr>
      <w:r>
        <w:rPr>
          <w:sz w:val="24"/>
        </w:rPr>
        <w:t>Março - campanha anual de vacinação dos funcionários, e</w:t>
      </w:r>
      <w:r>
        <w:rPr>
          <w:spacing w:val="1"/>
          <w:sz w:val="24"/>
        </w:rPr>
        <w:t> </w:t>
      </w:r>
      <w:r>
        <w:rPr>
          <w:sz w:val="24"/>
        </w:rPr>
        <w:t>esclarecimenos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gripe</w:t>
      </w:r>
      <w:r>
        <w:rPr>
          <w:spacing w:val="1"/>
          <w:sz w:val="24"/>
        </w:rPr>
        <w:t> </w:t>
      </w:r>
      <w:r>
        <w:rPr>
          <w:sz w:val="24"/>
        </w:rPr>
        <w:t>sazonal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H1N1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campanha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prevenção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Coronavírus</w:t>
      </w:r>
      <w:r>
        <w:rPr>
          <w:spacing w:val="-1"/>
          <w:sz w:val="24"/>
        </w:rPr>
        <w:t> </w:t>
      </w:r>
      <w:r>
        <w:rPr>
          <w:sz w:val="24"/>
        </w:rPr>
        <w:t>(Covid</w:t>
      </w:r>
      <w:r>
        <w:rPr>
          <w:spacing w:val="-1"/>
          <w:sz w:val="24"/>
        </w:rPr>
        <w:t> </w:t>
      </w:r>
      <w:r>
        <w:rPr>
          <w:sz w:val="24"/>
        </w:rPr>
        <w:t>19);</w:t>
      </w:r>
    </w:p>
    <w:p>
      <w:pPr>
        <w:pStyle w:val="ListParagraph"/>
        <w:numPr>
          <w:ilvl w:val="1"/>
          <w:numId w:val="3"/>
        </w:numPr>
        <w:tabs>
          <w:tab w:pos="2742" w:val="left" w:leader="none"/>
        </w:tabs>
        <w:spacing w:line="240" w:lineRule="auto" w:before="116" w:after="0"/>
        <w:ind w:left="2741" w:right="0" w:hanging="361"/>
        <w:jc w:val="both"/>
        <w:rPr>
          <w:sz w:val="24"/>
        </w:rPr>
      </w:pPr>
      <w:r>
        <w:rPr>
          <w:sz w:val="24"/>
        </w:rPr>
        <w:t>Setembro</w:t>
      </w:r>
      <w:r>
        <w:rPr>
          <w:spacing w:val="-2"/>
          <w:sz w:val="24"/>
        </w:rPr>
        <w:t> </w:t>
      </w:r>
      <w:r>
        <w:rPr>
          <w:sz w:val="24"/>
        </w:rPr>
        <w:t>Amarelo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mês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prevenção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suicidio;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568" w:footer="941" w:top="1480" w:bottom="1160" w:left="1500" w:right="1040"/>
        </w:sectPr>
      </w:pPr>
    </w:p>
    <w:p>
      <w:pPr>
        <w:pStyle w:val="ListParagraph"/>
        <w:numPr>
          <w:ilvl w:val="1"/>
          <w:numId w:val="3"/>
        </w:numPr>
        <w:tabs>
          <w:tab w:pos="2742" w:val="left" w:leader="none"/>
        </w:tabs>
        <w:spacing w:line="240" w:lineRule="auto" w:before="82" w:after="0"/>
        <w:ind w:left="2741" w:right="119" w:hanging="360"/>
        <w:jc w:val="left"/>
        <w:rPr>
          <w:sz w:val="24"/>
        </w:rPr>
      </w:pPr>
      <w:r>
        <w:rPr>
          <w:sz w:val="24"/>
        </w:rPr>
        <w:t>Outubro</w:t>
      </w:r>
      <w:r>
        <w:rPr>
          <w:spacing w:val="56"/>
          <w:sz w:val="24"/>
        </w:rPr>
        <w:t> </w:t>
      </w:r>
      <w:r>
        <w:rPr>
          <w:sz w:val="24"/>
        </w:rPr>
        <w:t>Rosa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mês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conscientização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prevenção</w:t>
      </w:r>
      <w:r>
        <w:rPr>
          <w:spacing w:val="54"/>
          <w:sz w:val="24"/>
        </w:rPr>
        <w:t> </w:t>
      </w:r>
      <w:r>
        <w:rPr>
          <w:sz w:val="24"/>
        </w:rPr>
        <w:t>ao</w:t>
      </w:r>
      <w:r>
        <w:rPr>
          <w:spacing w:val="-63"/>
          <w:sz w:val="24"/>
        </w:rPr>
        <w:t> </w:t>
      </w:r>
      <w:r>
        <w:rPr>
          <w:sz w:val="24"/>
        </w:rPr>
        <w:t>câncer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mama;</w:t>
      </w:r>
    </w:p>
    <w:p>
      <w:pPr>
        <w:pStyle w:val="ListParagraph"/>
        <w:numPr>
          <w:ilvl w:val="1"/>
          <w:numId w:val="3"/>
        </w:numPr>
        <w:tabs>
          <w:tab w:pos="2741" w:val="left" w:leader="none"/>
          <w:tab w:pos="2742" w:val="left" w:leader="none"/>
        </w:tabs>
        <w:spacing w:line="352" w:lineRule="auto" w:before="137" w:after="0"/>
        <w:ind w:left="2741" w:right="232" w:hanging="360"/>
        <w:jc w:val="left"/>
        <w:rPr>
          <w:sz w:val="24"/>
        </w:rPr>
      </w:pPr>
      <w:r>
        <w:rPr>
          <w:sz w:val="24"/>
        </w:rPr>
        <w:t>Novembro</w:t>
      </w:r>
      <w:r>
        <w:rPr>
          <w:spacing w:val="20"/>
          <w:sz w:val="24"/>
        </w:rPr>
        <w:t> </w:t>
      </w:r>
      <w:r>
        <w:rPr>
          <w:sz w:val="24"/>
        </w:rPr>
        <w:t>Azul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4"/>
          <w:sz w:val="24"/>
        </w:rPr>
        <w:t> </w:t>
      </w:r>
      <w:r>
        <w:rPr>
          <w:sz w:val="24"/>
        </w:rPr>
        <w:t>mês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conscientização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prevenção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combate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ao</w:t>
      </w:r>
      <w:r>
        <w:rPr>
          <w:spacing w:val="-16"/>
          <w:sz w:val="24"/>
        </w:rPr>
        <w:t> </w:t>
      </w:r>
      <w:r>
        <w:rPr>
          <w:sz w:val="24"/>
        </w:rPr>
        <w:t>câncer de</w:t>
      </w:r>
      <w:r>
        <w:rPr>
          <w:spacing w:val="-1"/>
          <w:sz w:val="24"/>
        </w:rPr>
        <w:t> </w:t>
      </w:r>
      <w:r>
        <w:rPr>
          <w:sz w:val="24"/>
        </w:rPr>
        <w:t>próstata;</w:t>
      </w:r>
    </w:p>
    <w:p>
      <w:pPr>
        <w:pStyle w:val="ListParagraph"/>
        <w:numPr>
          <w:ilvl w:val="1"/>
          <w:numId w:val="3"/>
        </w:numPr>
        <w:tabs>
          <w:tab w:pos="2742" w:val="left" w:leader="none"/>
        </w:tabs>
        <w:spacing w:line="240" w:lineRule="auto" w:before="4" w:after="0"/>
        <w:ind w:left="2741" w:right="119" w:hanging="360"/>
        <w:jc w:val="left"/>
        <w:rPr>
          <w:sz w:val="24"/>
        </w:rPr>
      </w:pP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Laranja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1"/>
          <w:sz w:val="24"/>
        </w:rPr>
        <w:t> </w:t>
      </w:r>
      <w:r>
        <w:rPr>
          <w:sz w:val="24"/>
        </w:rPr>
        <w:t>dedicado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conscientização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câncer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pele;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line="360" w:lineRule="auto" w:before="1"/>
        <w:ind w:left="204" w:right="227" w:firstLine="1699"/>
      </w:pPr>
      <w:r>
        <w:rPr/>
        <w:t>Com o início da pandemia do COVID-19, em março/2020, a ABGF</w:t>
      </w:r>
      <w:r>
        <w:rPr>
          <w:spacing w:val="1"/>
        </w:rPr>
        <w:t> </w:t>
      </w:r>
      <w:r>
        <w:rPr/>
        <w:t>adotou o regime</w:t>
      </w:r>
      <w:r>
        <w:rPr>
          <w:spacing w:val="1"/>
        </w:rPr>
        <w:t> </w:t>
      </w:r>
      <w:r>
        <w:rPr/>
        <w:t>de teletrabalho, a realização do trabalho remoto com intuito de</w:t>
      </w:r>
      <w:r>
        <w:rPr>
          <w:spacing w:val="1"/>
        </w:rPr>
        <w:t> </w:t>
      </w:r>
      <w:r>
        <w:rPr/>
        <w:t>evitar a propagação da doença e o contato fisico com os colegas de trabalho, com</w:t>
      </w:r>
      <w:r>
        <w:rPr>
          <w:spacing w:val="1"/>
        </w:rPr>
        <w:t> </w:t>
      </w:r>
      <w:r>
        <w:rPr/>
        <w:t>parentes,</w:t>
      </w:r>
      <w:r>
        <w:rPr>
          <w:spacing w:val="-3"/>
        </w:rPr>
        <w:t> </w:t>
      </w:r>
      <w:r>
        <w:rPr/>
        <w:t>amigos, comunidade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geral.</w:t>
      </w:r>
    </w:p>
    <w:p>
      <w:pPr>
        <w:pStyle w:val="BodyText"/>
        <w:spacing w:line="360" w:lineRule="auto" w:before="123"/>
        <w:ind w:left="204" w:right="226" w:firstLine="1699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>
          <w:rFonts w:ascii="Arial" w:hAnsi="Arial"/>
          <w:i/>
        </w:rPr>
        <w:t>home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office</w:t>
      </w:r>
      <w:r>
        <w:rPr>
          <w:rFonts w:ascii="Arial" w:hAnsi="Arial"/>
          <w:i/>
          <w:spacing w:val="1"/>
        </w:rPr>
        <w:t> </w:t>
      </w:r>
      <w:r>
        <w:rPr/>
        <w:t>exigiu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habilidades,</w:t>
      </w:r>
      <w:r>
        <w:rPr>
          <w:spacing w:val="1"/>
        </w:rPr>
        <w:t> </w:t>
      </w:r>
      <w:r>
        <w:rPr/>
        <w:t>maior comprometimento e adaptação por parte dos funcionários, sem</w:t>
      </w:r>
      <w:r>
        <w:rPr>
          <w:spacing w:val="1"/>
        </w:rPr>
        <w:t> </w:t>
      </w:r>
      <w:r>
        <w:rPr/>
        <w:t>entretanto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 e contou com o total suporte da área gestão de pessoas, principalmente</w:t>
      </w:r>
      <w:r>
        <w:rPr>
          <w:spacing w:val="1"/>
        </w:rPr>
        <w:t> </w:t>
      </w:r>
      <w:r>
        <w:rPr/>
        <w:t>nas</w:t>
      </w:r>
      <w:r>
        <w:rPr>
          <w:spacing w:val="-1"/>
        </w:rPr>
        <w:t> </w:t>
      </w:r>
      <w:r>
        <w:rPr/>
        <w:t>questões relacionadas</w:t>
      </w:r>
      <w:r>
        <w:rPr>
          <w:spacing w:val="-2"/>
        </w:rPr>
        <w:t> </w:t>
      </w:r>
      <w:r>
        <w:rPr/>
        <w:t>a saúde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funcionários.</w:t>
      </w:r>
    </w:p>
    <w:p>
      <w:pPr>
        <w:pStyle w:val="BodyText"/>
        <w:spacing w:line="360" w:lineRule="auto" w:before="95"/>
        <w:ind w:left="204" w:right="230" w:firstLine="1550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ABGF</w:t>
      </w:r>
      <w:r>
        <w:rPr>
          <w:spacing w:val="1"/>
        </w:rPr>
        <w:t> </w:t>
      </w:r>
      <w:r>
        <w:rPr/>
        <w:t>estimula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fortalece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sustentáveis,</w:t>
      </w:r>
      <w:r>
        <w:rPr>
          <w:spacing w:val="1"/>
        </w:rPr>
        <w:t> </w:t>
      </w:r>
      <w:r>
        <w:rPr/>
        <w:t>orientando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negócios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desenvolvendo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pautadas</w:t>
      </w:r>
      <w:r>
        <w:rPr>
          <w:spacing w:val="-4"/>
        </w:rPr>
        <w:t> </w:t>
      </w:r>
      <w:r>
        <w:rPr/>
        <w:t>pela preservação,</w:t>
      </w:r>
      <w:r>
        <w:rPr>
          <w:spacing w:val="-3"/>
        </w:rPr>
        <w:t> </w:t>
      </w:r>
      <w:r>
        <w:rPr/>
        <w:t>proteção</w:t>
      </w:r>
      <w:r>
        <w:rPr>
          <w:spacing w:val="-2"/>
        </w:rPr>
        <w:t> </w:t>
      </w:r>
      <w:r>
        <w:rPr/>
        <w:t>e respeito ao</w:t>
      </w:r>
      <w:r>
        <w:rPr>
          <w:spacing w:val="-3"/>
        </w:rPr>
        <w:t> </w:t>
      </w:r>
      <w:r>
        <w:rPr/>
        <w:t>meio</w:t>
      </w:r>
      <w:r>
        <w:rPr>
          <w:spacing w:val="1"/>
        </w:rPr>
        <w:t> </w:t>
      </w:r>
      <w:r>
        <w:rPr/>
        <w:t>ambiente.</w:t>
      </w:r>
    </w:p>
    <w:sectPr>
      <w:pgSz w:w="11920" w:h="16850"/>
      <w:pgMar w:header="568" w:footer="941" w:top="1480" w:bottom="1160" w:left="15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9.5pt;margin-top:779.399963pt;width:463.65pt;height:1.45pt;mso-position-horizontal-relative:page;mso-position-vertical-relative:page;z-index:-157967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2.599976pt;width:238.95pt;height:13.0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Relatório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Sustentabilidade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ABGF</w:t>
                </w:r>
                <w:r>
                  <w:rPr>
                    <w:rFonts w:ascii="Calibri" w:hAnsi="Calibri"/>
                    <w:spacing w:val="47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47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2019-2020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320007pt;margin-top:782.839966pt;width:11.6pt;height:13.0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1035685</wp:posOffset>
          </wp:positionH>
          <wp:positionV relativeFrom="page">
            <wp:posOffset>360679</wp:posOffset>
          </wp:positionV>
          <wp:extent cx="1574800" cy="5321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800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."/>
      <w:lvlJc w:val="left"/>
      <w:pPr>
        <w:ind w:left="2381" w:hanging="480"/>
        <w:jc w:val="righ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741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661" w:hanging="133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31" w:hanging="13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02" w:hanging="13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3" w:hanging="13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4" w:hanging="13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5" w:hanging="13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6" w:hanging="13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7" w:hanging="13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13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981" w:hanging="361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19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5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2" w:hanging="36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661" w:hanging="149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006" w:right="2189" w:hanging="185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2741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ecycle.com.br/2046-reciclagem" TargetMode="External"/><Relationship Id="rId8" Type="http://schemas.openxmlformats.org/officeDocument/2006/relationships/hyperlink" Target="https://www.gov.br/agu/pt-br/composicao/consultoria-geral-da-uniao-1/modelos-de-convenios-licitacoes-e-contratos/modelos-de-licitacoes-e-contratos/licitacoes-sustentaveis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dcterms:created xsi:type="dcterms:W3CDTF">2023-03-13T14:56:12Z</dcterms:created>
  <dcterms:modified xsi:type="dcterms:W3CDTF">2023-03-13T14:56:12Z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