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73FAF" w14:textId="41AC96D1" w:rsidR="008C4EC7" w:rsidRPr="00FE57FC" w:rsidRDefault="00A508CC" w:rsidP="00FA305E">
      <w:pPr>
        <w:ind w:left="-1701"/>
        <w:rPr>
          <w:rFonts w:ascii="Garamond" w:hAnsi="Garamond" w:cs="Arial"/>
          <w:b/>
          <w:color w:val="002060"/>
          <w:sz w:val="42"/>
          <w:szCs w:val="42"/>
        </w:rPr>
      </w:pPr>
      <w:r>
        <w:rPr>
          <w:rFonts w:ascii="Garamond" w:hAnsi="Garamond" w:cs="Arial"/>
          <w:b/>
          <w:noProof/>
          <w:color w:val="002060"/>
          <w:sz w:val="42"/>
          <w:szCs w:val="42"/>
        </w:rPr>
        <w:drawing>
          <wp:anchor distT="0" distB="0" distL="114300" distR="114300" simplePos="0" relativeHeight="251661312" behindDoc="0" locked="0" layoutInCell="1" allowOverlap="1" wp14:anchorId="32A62922" wp14:editId="5599919E">
            <wp:simplePos x="0" y="0"/>
            <wp:positionH relativeFrom="column">
              <wp:posOffset>2953385</wp:posOffset>
            </wp:positionH>
            <wp:positionV relativeFrom="paragraph">
              <wp:posOffset>6986270</wp:posOffset>
            </wp:positionV>
            <wp:extent cx="3526790" cy="198437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Arial"/>
          <w:b/>
          <w:noProof/>
          <w:color w:val="002060"/>
          <w:sz w:val="42"/>
          <w:szCs w:val="42"/>
        </w:rPr>
        <w:drawing>
          <wp:anchor distT="0" distB="0" distL="114300" distR="114300" simplePos="0" relativeHeight="251660288" behindDoc="1" locked="0" layoutInCell="1" allowOverlap="1" wp14:anchorId="4165B1E3" wp14:editId="14F82926">
            <wp:simplePos x="0" y="0"/>
            <wp:positionH relativeFrom="margin">
              <wp:posOffset>-1061085</wp:posOffset>
            </wp:positionH>
            <wp:positionV relativeFrom="margin">
              <wp:posOffset>-801370</wp:posOffset>
            </wp:positionV>
            <wp:extent cx="7581900" cy="10868025"/>
            <wp:effectExtent l="0" t="0" r="0" b="9525"/>
            <wp:wrapSquare wrapText="bothSides"/>
            <wp:docPr id="1" name="Imagem 1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Interface gráfica do usuári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Arial"/>
          <w:b/>
          <w:noProof/>
          <w:color w:val="002060"/>
          <w:sz w:val="42"/>
          <w:szCs w:val="42"/>
        </w:rPr>
        <w:drawing>
          <wp:inline distT="0" distB="0" distL="0" distR="0" wp14:anchorId="231AD6A0" wp14:editId="7B6478D6">
            <wp:extent cx="18278475" cy="10287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475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BB210" w14:textId="47BAEAED" w:rsidR="004A38D3" w:rsidRDefault="004A38D3" w:rsidP="00214AAE">
      <w:pPr>
        <w:spacing w:after="0"/>
        <w:jc w:val="center"/>
        <w:rPr>
          <w:rFonts w:ascii="Garamond" w:hAnsi="Garamond" w:cs="Arial"/>
          <w:b/>
          <w:color w:val="002060"/>
          <w:sz w:val="42"/>
          <w:szCs w:val="4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D35B24" wp14:editId="06B4BDC0">
            <wp:simplePos x="0" y="0"/>
            <wp:positionH relativeFrom="margin">
              <wp:posOffset>1824037</wp:posOffset>
            </wp:positionH>
            <wp:positionV relativeFrom="paragraph">
              <wp:posOffset>-152083</wp:posOffset>
            </wp:positionV>
            <wp:extent cx="1748155" cy="565150"/>
            <wp:effectExtent l="0" t="0" r="4445" b="6350"/>
            <wp:wrapTopAndBottom/>
            <wp:docPr id="9" name="Imagem 9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0F30D9" w14:textId="084BB92D" w:rsidR="00B92C2C" w:rsidRPr="00FE57FC" w:rsidRDefault="004425AF" w:rsidP="00214AAE">
      <w:pPr>
        <w:spacing w:after="0"/>
        <w:jc w:val="center"/>
        <w:rPr>
          <w:rFonts w:ascii="Garamond" w:hAnsi="Garamond" w:cs="Arial"/>
          <w:b/>
          <w:color w:val="002060"/>
          <w:sz w:val="42"/>
          <w:szCs w:val="42"/>
        </w:rPr>
      </w:pPr>
      <w:r w:rsidRPr="00FE57FC">
        <w:rPr>
          <w:rFonts w:ascii="Garamond" w:hAnsi="Garamond" w:cs="Arial"/>
          <w:b/>
          <w:color w:val="002060"/>
          <w:sz w:val="42"/>
          <w:szCs w:val="42"/>
        </w:rPr>
        <w:t xml:space="preserve">CARTA ANUAL DE POLÍTICAS PÚBLICAS E GOVERNANÇA CORPORATIVA </w:t>
      </w:r>
    </w:p>
    <w:p w14:paraId="5FD1A48F" w14:textId="77777777" w:rsidR="003A5CC8" w:rsidRPr="00FE57FC" w:rsidRDefault="003A5CC8" w:rsidP="00214AAE">
      <w:pPr>
        <w:spacing w:after="0"/>
        <w:jc w:val="both"/>
        <w:rPr>
          <w:rFonts w:ascii="Garamond" w:hAnsi="Garamond" w:cs="Arial"/>
          <w:color w:val="002060"/>
        </w:rPr>
      </w:pPr>
    </w:p>
    <w:p w14:paraId="08A2F6D7" w14:textId="77D89E6E" w:rsidR="00B92C2C" w:rsidRPr="00FE57FC" w:rsidRDefault="004425AF" w:rsidP="00214AAE">
      <w:pPr>
        <w:spacing w:after="0"/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>Em conformidade com o art. 8º, inciso</w:t>
      </w:r>
      <w:r w:rsidR="00621601" w:rsidRPr="00FE57FC">
        <w:rPr>
          <w:rFonts w:ascii="Garamond" w:hAnsi="Garamond" w:cs="Arial"/>
          <w:color w:val="002060"/>
          <w:sz w:val="24"/>
          <w:szCs w:val="24"/>
        </w:rPr>
        <w:t>s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 I e VIII, da Lei nº 13.303, de 30 de junho de 2016, </w:t>
      </w:r>
      <w:r w:rsidR="000A24EC" w:rsidRPr="00FE57FC">
        <w:rPr>
          <w:rFonts w:ascii="Garamond" w:hAnsi="Garamond" w:cs="Arial"/>
          <w:color w:val="002060"/>
          <w:sz w:val="24"/>
          <w:szCs w:val="24"/>
        </w:rPr>
        <w:t xml:space="preserve">e com o inciso XXXIII, artigo 42 do </w:t>
      </w:r>
      <w:r w:rsidR="004A38D3">
        <w:rPr>
          <w:rFonts w:ascii="Garamond" w:hAnsi="Garamond" w:cs="Arial"/>
          <w:color w:val="002060"/>
          <w:sz w:val="24"/>
          <w:szCs w:val="24"/>
        </w:rPr>
        <w:t xml:space="preserve">seu </w:t>
      </w:r>
      <w:r w:rsidR="000A24EC" w:rsidRPr="00FE57FC">
        <w:rPr>
          <w:rFonts w:ascii="Garamond" w:hAnsi="Garamond" w:cs="Arial"/>
          <w:color w:val="002060"/>
          <w:sz w:val="24"/>
          <w:szCs w:val="24"/>
        </w:rPr>
        <w:t>Estatuto Social</w:t>
      </w:r>
      <w:r w:rsidR="004A38D3">
        <w:rPr>
          <w:rFonts w:ascii="Garamond" w:hAnsi="Garamond" w:cs="Arial"/>
          <w:color w:val="002060"/>
          <w:sz w:val="24"/>
          <w:szCs w:val="24"/>
        </w:rPr>
        <w:t>,</w:t>
      </w:r>
      <w:r w:rsidR="000A24EC" w:rsidRPr="00FE57FC"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o Conselho de Administração </w:t>
      </w:r>
      <w:r w:rsidR="004A38D3">
        <w:rPr>
          <w:rFonts w:ascii="Garamond" w:hAnsi="Garamond" w:cs="Arial"/>
          <w:color w:val="002060"/>
          <w:sz w:val="24"/>
          <w:szCs w:val="24"/>
        </w:rPr>
        <w:t xml:space="preserve">subscreve a presente 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Carta Anual </w:t>
      </w:r>
      <w:r w:rsidR="004A38D3">
        <w:rPr>
          <w:rFonts w:ascii="Garamond" w:hAnsi="Garamond" w:cs="Arial"/>
          <w:color w:val="002060"/>
          <w:sz w:val="24"/>
          <w:szCs w:val="24"/>
        </w:rPr>
        <w:t>de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 Políticas Públicas e Governança Corporativa referente ao exercício social de 20</w:t>
      </w:r>
      <w:r w:rsidR="004A38D3">
        <w:rPr>
          <w:rFonts w:ascii="Garamond" w:hAnsi="Garamond" w:cs="Arial"/>
          <w:color w:val="002060"/>
          <w:sz w:val="24"/>
          <w:szCs w:val="24"/>
        </w:rPr>
        <w:t>2</w:t>
      </w:r>
      <w:r w:rsidR="006472BB">
        <w:rPr>
          <w:rFonts w:ascii="Garamond" w:hAnsi="Garamond" w:cs="Arial"/>
          <w:color w:val="002060"/>
          <w:sz w:val="24"/>
          <w:szCs w:val="24"/>
        </w:rPr>
        <w:t>2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. </w:t>
      </w:r>
    </w:p>
    <w:p w14:paraId="6EE4575E" w14:textId="77777777" w:rsidR="003A5CC8" w:rsidRPr="00FE57FC" w:rsidRDefault="003A5CC8" w:rsidP="00214AAE">
      <w:pPr>
        <w:spacing w:after="0"/>
        <w:jc w:val="both"/>
        <w:rPr>
          <w:rFonts w:ascii="Garamond" w:hAnsi="Garamond" w:cs="Arial"/>
          <w:b/>
          <w:color w:val="002060"/>
          <w:sz w:val="24"/>
          <w:szCs w:val="24"/>
        </w:rPr>
      </w:pPr>
    </w:p>
    <w:p w14:paraId="48F89301" w14:textId="77777777" w:rsidR="00B92C2C" w:rsidRPr="00FE57FC" w:rsidRDefault="004425AF" w:rsidP="00214AAE">
      <w:pPr>
        <w:spacing w:after="0"/>
        <w:jc w:val="both"/>
        <w:rPr>
          <w:rFonts w:ascii="Garamond" w:hAnsi="Garamond" w:cs="Arial"/>
          <w:b/>
          <w:color w:val="002060"/>
          <w:sz w:val="26"/>
          <w:szCs w:val="26"/>
        </w:rPr>
      </w:pPr>
      <w:r w:rsidRPr="00FE57FC">
        <w:rPr>
          <w:rFonts w:ascii="Garamond" w:hAnsi="Garamond" w:cs="Arial"/>
          <w:b/>
          <w:color w:val="002060"/>
          <w:sz w:val="26"/>
          <w:szCs w:val="26"/>
        </w:rPr>
        <w:t xml:space="preserve">IDENTIFICAÇÃO GERAL </w:t>
      </w:r>
    </w:p>
    <w:p w14:paraId="032C6FE6" w14:textId="77777777" w:rsidR="003A5CC8" w:rsidRPr="00FE57FC" w:rsidRDefault="003A5CC8" w:rsidP="00214AAE">
      <w:pPr>
        <w:spacing w:after="0"/>
        <w:jc w:val="both"/>
        <w:rPr>
          <w:rFonts w:ascii="Garamond" w:hAnsi="Garamond" w:cs="Arial"/>
          <w:b/>
          <w:color w:val="002060"/>
          <w:sz w:val="24"/>
          <w:szCs w:val="24"/>
        </w:rPr>
      </w:pPr>
    </w:p>
    <w:tbl>
      <w:tblPr>
        <w:tblStyle w:val="Tabelacomgrade"/>
        <w:tblW w:w="5000" w:type="pct"/>
        <w:jc w:val="center"/>
        <w:tblBorders>
          <w:top w:val="double" w:sz="12" w:space="0" w:color="002060"/>
          <w:left w:val="double" w:sz="12" w:space="0" w:color="002060"/>
          <w:bottom w:val="double" w:sz="12" w:space="0" w:color="002060"/>
          <w:right w:val="double" w:sz="12" w:space="0" w:color="002060"/>
          <w:insideH w:val="double" w:sz="12" w:space="0" w:color="002060"/>
          <w:insideV w:val="double" w:sz="12" w:space="0" w:color="002060"/>
        </w:tblBorders>
        <w:tblLook w:val="04A0" w:firstRow="1" w:lastRow="0" w:firstColumn="1" w:lastColumn="0" w:noHBand="0" w:noVBand="1"/>
      </w:tblPr>
      <w:tblGrid>
        <w:gridCol w:w="3174"/>
        <w:gridCol w:w="5240"/>
      </w:tblGrid>
      <w:tr w:rsidR="00FE57FC" w:rsidRPr="00FE57FC" w14:paraId="151C4E25" w14:textId="77777777" w:rsidTr="008C4EC7">
        <w:trPr>
          <w:jc w:val="center"/>
        </w:trPr>
        <w:tc>
          <w:tcPr>
            <w:tcW w:w="1886" w:type="pct"/>
            <w:vAlign w:val="center"/>
          </w:tcPr>
          <w:p w14:paraId="5ACD788F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CNPJ</w:t>
            </w:r>
            <w:r w:rsidR="00621601"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:</w:t>
            </w:r>
          </w:p>
        </w:tc>
        <w:tc>
          <w:tcPr>
            <w:tcW w:w="3114" w:type="pct"/>
            <w:vAlign w:val="center"/>
          </w:tcPr>
          <w:p w14:paraId="1796F406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17.909.518/0001-45</w:t>
            </w:r>
          </w:p>
        </w:tc>
      </w:tr>
      <w:tr w:rsidR="00FE57FC" w:rsidRPr="00FE57FC" w14:paraId="56F29C90" w14:textId="77777777" w:rsidTr="008C4EC7">
        <w:trPr>
          <w:jc w:val="center"/>
        </w:trPr>
        <w:tc>
          <w:tcPr>
            <w:tcW w:w="1886" w:type="pct"/>
            <w:vAlign w:val="center"/>
          </w:tcPr>
          <w:p w14:paraId="79EE8B40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NIRE:</w:t>
            </w:r>
          </w:p>
        </w:tc>
        <w:tc>
          <w:tcPr>
            <w:tcW w:w="3114" w:type="pct"/>
            <w:vAlign w:val="center"/>
          </w:tcPr>
          <w:p w14:paraId="4F60FDBA" w14:textId="77777777" w:rsidR="004F7EB8" w:rsidRPr="00FE57FC" w:rsidRDefault="004425AF" w:rsidP="00214AAE">
            <w:pPr>
              <w:tabs>
                <w:tab w:val="left" w:pos="1029"/>
              </w:tabs>
              <w:spacing w:line="276" w:lineRule="auto"/>
              <w:ind w:firstLine="33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5350000520-0</w:t>
            </w:r>
          </w:p>
        </w:tc>
      </w:tr>
      <w:tr w:rsidR="00FE57FC" w:rsidRPr="00FE57FC" w14:paraId="5F16FFD5" w14:textId="77777777" w:rsidTr="008C4EC7">
        <w:trPr>
          <w:jc w:val="center"/>
        </w:trPr>
        <w:tc>
          <w:tcPr>
            <w:tcW w:w="1886" w:type="pct"/>
            <w:vAlign w:val="center"/>
          </w:tcPr>
          <w:p w14:paraId="346D31E8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 xml:space="preserve">Sede: </w:t>
            </w:r>
          </w:p>
        </w:tc>
        <w:tc>
          <w:tcPr>
            <w:tcW w:w="3114" w:type="pct"/>
            <w:vAlign w:val="center"/>
          </w:tcPr>
          <w:p w14:paraId="5C2052D8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Brasília/DF</w:t>
            </w:r>
          </w:p>
        </w:tc>
      </w:tr>
      <w:tr w:rsidR="00FE57FC" w:rsidRPr="00FE57FC" w14:paraId="59B4A873" w14:textId="77777777" w:rsidTr="008C4EC7">
        <w:trPr>
          <w:jc w:val="center"/>
        </w:trPr>
        <w:tc>
          <w:tcPr>
            <w:tcW w:w="1886" w:type="pct"/>
            <w:vAlign w:val="center"/>
          </w:tcPr>
          <w:p w14:paraId="106186A4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Tipo de estatal:</w:t>
            </w:r>
          </w:p>
        </w:tc>
        <w:tc>
          <w:tcPr>
            <w:tcW w:w="3114" w:type="pct"/>
            <w:vAlign w:val="center"/>
          </w:tcPr>
          <w:p w14:paraId="08770983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Empresa Pública</w:t>
            </w:r>
          </w:p>
        </w:tc>
      </w:tr>
      <w:tr w:rsidR="00FE57FC" w:rsidRPr="00FE57FC" w14:paraId="7050ACDD" w14:textId="77777777" w:rsidTr="008C4EC7">
        <w:trPr>
          <w:jc w:val="center"/>
        </w:trPr>
        <w:tc>
          <w:tcPr>
            <w:tcW w:w="1886" w:type="pct"/>
            <w:vAlign w:val="center"/>
          </w:tcPr>
          <w:p w14:paraId="02AF3705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 xml:space="preserve">Acionista controlador: </w:t>
            </w:r>
          </w:p>
        </w:tc>
        <w:tc>
          <w:tcPr>
            <w:tcW w:w="3114" w:type="pct"/>
            <w:vAlign w:val="center"/>
          </w:tcPr>
          <w:p w14:paraId="16DE7C3B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União</w:t>
            </w:r>
          </w:p>
        </w:tc>
      </w:tr>
      <w:tr w:rsidR="00FE57FC" w:rsidRPr="00FE57FC" w14:paraId="507FBDBC" w14:textId="77777777" w:rsidTr="008C4EC7">
        <w:trPr>
          <w:jc w:val="center"/>
        </w:trPr>
        <w:tc>
          <w:tcPr>
            <w:tcW w:w="1886" w:type="pct"/>
            <w:vAlign w:val="center"/>
          </w:tcPr>
          <w:p w14:paraId="62048B6D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 xml:space="preserve">Tipo societário: </w:t>
            </w:r>
          </w:p>
        </w:tc>
        <w:tc>
          <w:tcPr>
            <w:tcW w:w="3114" w:type="pct"/>
            <w:vAlign w:val="center"/>
          </w:tcPr>
          <w:p w14:paraId="6365B939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Sociedade Anônima</w:t>
            </w:r>
          </w:p>
        </w:tc>
      </w:tr>
      <w:tr w:rsidR="00FE57FC" w:rsidRPr="00FE57FC" w14:paraId="6FFFED45" w14:textId="77777777" w:rsidTr="008C4EC7">
        <w:trPr>
          <w:jc w:val="center"/>
        </w:trPr>
        <w:tc>
          <w:tcPr>
            <w:tcW w:w="1886" w:type="pct"/>
            <w:vAlign w:val="center"/>
          </w:tcPr>
          <w:p w14:paraId="4F9EC311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 xml:space="preserve">Tipo de capital: </w:t>
            </w:r>
          </w:p>
        </w:tc>
        <w:tc>
          <w:tcPr>
            <w:tcW w:w="3114" w:type="pct"/>
            <w:vAlign w:val="center"/>
          </w:tcPr>
          <w:p w14:paraId="18AE40FD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Fechado</w:t>
            </w:r>
          </w:p>
        </w:tc>
      </w:tr>
      <w:tr w:rsidR="00FE57FC" w:rsidRPr="00FE57FC" w14:paraId="628FE666" w14:textId="77777777" w:rsidTr="008C4EC7">
        <w:trPr>
          <w:jc w:val="center"/>
        </w:trPr>
        <w:tc>
          <w:tcPr>
            <w:tcW w:w="1886" w:type="pct"/>
            <w:vAlign w:val="center"/>
          </w:tcPr>
          <w:p w14:paraId="01EA0F89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 xml:space="preserve">Setor de atuação: </w:t>
            </w:r>
          </w:p>
        </w:tc>
        <w:tc>
          <w:tcPr>
            <w:tcW w:w="3114" w:type="pct"/>
            <w:vAlign w:val="center"/>
          </w:tcPr>
          <w:p w14:paraId="0B62A63B" w14:textId="77777777" w:rsidR="004F7EB8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Serviços</w:t>
            </w:r>
          </w:p>
        </w:tc>
      </w:tr>
      <w:tr w:rsidR="00FE57FC" w:rsidRPr="00FE57FC" w14:paraId="5ACCFFE5" w14:textId="77777777" w:rsidTr="008C4EC7">
        <w:trPr>
          <w:jc w:val="center"/>
        </w:trPr>
        <w:tc>
          <w:tcPr>
            <w:tcW w:w="1886" w:type="pct"/>
            <w:vAlign w:val="center"/>
          </w:tcPr>
          <w:p w14:paraId="4586B408" w14:textId="2ABF04AB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Diretor Administrativo e Financeiro</w:t>
            </w:r>
          </w:p>
        </w:tc>
        <w:tc>
          <w:tcPr>
            <w:tcW w:w="3114" w:type="pct"/>
            <w:vAlign w:val="center"/>
          </w:tcPr>
          <w:p w14:paraId="772DD45C" w14:textId="77777777" w:rsidR="004F7EB8" w:rsidRDefault="004A38D3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Fabiano Maia Pereira</w:t>
            </w:r>
          </w:p>
          <w:p w14:paraId="670280E9" w14:textId="177624D8" w:rsidR="004A38D3" w:rsidRDefault="004A38D3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Telefone: (61) 3246-6200/6201</w:t>
            </w:r>
          </w:p>
          <w:p w14:paraId="5BB5716B" w14:textId="7A17DE22" w:rsidR="004A38D3" w:rsidRPr="00FE57FC" w:rsidRDefault="004A38D3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E-mail: </w:t>
            </w:r>
            <w:hyperlink r:id="rId12" w:history="1">
              <w:r w:rsidRPr="00930691">
                <w:rPr>
                  <w:rStyle w:val="Hyperlink"/>
                  <w:rFonts w:ascii="Garamond" w:hAnsi="Garamond" w:cs="Arial"/>
                  <w:sz w:val="24"/>
                  <w:szCs w:val="24"/>
                </w:rPr>
                <w:t>presi@abgf.gov.br</w:t>
              </w:r>
            </w:hyperlink>
          </w:p>
        </w:tc>
      </w:tr>
      <w:tr w:rsidR="00FE57FC" w:rsidRPr="00FE57FC" w14:paraId="77AA7261" w14:textId="77777777" w:rsidTr="008C4EC7">
        <w:trPr>
          <w:jc w:val="center"/>
        </w:trPr>
        <w:tc>
          <w:tcPr>
            <w:tcW w:w="1886" w:type="pct"/>
            <w:vAlign w:val="center"/>
          </w:tcPr>
          <w:p w14:paraId="0581CEDC" w14:textId="77777777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Auditores Independentes:</w:t>
            </w:r>
          </w:p>
        </w:tc>
        <w:tc>
          <w:tcPr>
            <w:tcW w:w="3114" w:type="pct"/>
            <w:vAlign w:val="center"/>
          </w:tcPr>
          <w:p w14:paraId="5FE97927" w14:textId="77777777" w:rsidR="004F7EB8" w:rsidRPr="000D5DCB" w:rsidRDefault="003F68F9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BDO RCS Auditores Independentes SS</w:t>
            </w:r>
          </w:p>
          <w:p w14:paraId="1AD9C5F4" w14:textId="3129276A" w:rsidR="00046E95" w:rsidRPr="000D5DCB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0D5DCB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Nome: </w:t>
            </w:r>
            <w:r w:rsidR="00F6142F" w:rsidRPr="000D5DCB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Fabiano </w:t>
            </w:r>
            <w:r w:rsidR="000D5DCB"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de Oliveira Barbosa</w:t>
            </w:r>
          </w:p>
          <w:p w14:paraId="2F8BF3FD" w14:textId="77777777" w:rsidR="00D00648" w:rsidRPr="000D5DCB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Telefone: (</w:t>
            </w:r>
            <w:r w:rsidR="003F68F9"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61</w:t>
            </w:r>
            <w:r w:rsidRPr="000D5DCB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) </w:t>
            </w:r>
            <w:r w:rsidR="003F68F9"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3322-5190</w:t>
            </w:r>
          </w:p>
          <w:p w14:paraId="271BFC4A" w14:textId="77777777" w:rsidR="00046E95" w:rsidRPr="000D5DCB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0D5DCB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e-mail: </w:t>
            </w:r>
            <w:r w:rsidR="003F68F9"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brasilia</w:t>
            </w:r>
            <w:r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@</w:t>
            </w:r>
            <w:r w:rsidR="003F68F9" w:rsidRPr="000D5DCB">
              <w:rPr>
                <w:rFonts w:ascii="Garamond" w:hAnsi="Garamond" w:cs="Arial"/>
                <w:color w:val="002060"/>
                <w:sz w:val="24"/>
                <w:szCs w:val="24"/>
              </w:rPr>
              <w:t>bdo.com.br</w:t>
            </w:r>
          </w:p>
        </w:tc>
      </w:tr>
      <w:tr w:rsidR="00FE57FC" w:rsidRPr="00FE57FC" w14:paraId="2ABC6CAC" w14:textId="77777777" w:rsidTr="008C4EC7">
        <w:trPr>
          <w:jc w:val="center"/>
        </w:trPr>
        <w:tc>
          <w:tcPr>
            <w:tcW w:w="1886" w:type="pct"/>
            <w:vAlign w:val="center"/>
          </w:tcPr>
          <w:p w14:paraId="60F2E8B9" w14:textId="5687749E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>Conselheiros de Administração:</w:t>
            </w:r>
          </w:p>
        </w:tc>
        <w:tc>
          <w:tcPr>
            <w:tcW w:w="3114" w:type="pct"/>
            <w:vAlign w:val="center"/>
          </w:tcPr>
          <w:p w14:paraId="4A90EE9A" w14:textId="77777777" w:rsidR="004A38D3" w:rsidRDefault="004A38D3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Juliana Maria de Almeida Barros</w:t>
            </w:r>
          </w:p>
          <w:p w14:paraId="2C37A826" w14:textId="1D5F9CE4" w:rsidR="004A38D3" w:rsidRDefault="004A38D3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Viviane Vecchi Mendes Muller</w:t>
            </w:r>
          </w:p>
          <w:p w14:paraId="7E8048CF" w14:textId="1A8CF249" w:rsidR="00992F85" w:rsidRDefault="00992F85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Edson Leonardo Dalescio Sá Teles</w:t>
            </w:r>
          </w:p>
          <w:p w14:paraId="2E137DC5" w14:textId="68E69700" w:rsidR="00992F85" w:rsidRPr="00FE57FC" w:rsidRDefault="00992F85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Gabriela Souza Valente</w:t>
            </w:r>
          </w:p>
          <w:p w14:paraId="4E764831" w14:textId="09E2DA1D" w:rsidR="00116BA1" w:rsidRPr="00FE57FC" w:rsidRDefault="00293FF1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Rafael Bicca Machado</w:t>
            </w:r>
          </w:p>
        </w:tc>
      </w:tr>
      <w:tr w:rsidR="004B1E9D" w:rsidRPr="00FE57FC" w14:paraId="1E648447" w14:textId="77777777" w:rsidTr="008C4EC7">
        <w:trPr>
          <w:jc w:val="center"/>
        </w:trPr>
        <w:tc>
          <w:tcPr>
            <w:tcW w:w="1886" w:type="pct"/>
            <w:vAlign w:val="center"/>
          </w:tcPr>
          <w:p w14:paraId="19A1D967" w14:textId="3CCCC6C2" w:rsidR="004F7EB8" w:rsidRPr="00FE57FC" w:rsidRDefault="004425AF" w:rsidP="00214AAE">
            <w:pPr>
              <w:spacing w:line="276" w:lineRule="auto"/>
              <w:ind w:right="34"/>
              <w:jc w:val="both"/>
              <w:rPr>
                <w:rFonts w:ascii="Garamond" w:hAnsi="Garamond" w:cs="Arial"/>
                <w:b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b/>
                <w:color w:val="002060"/>
                <w:sz w:val="24"/>
                <w:szCs w:val="24"/>
              </w:rPr>
              <w:t xml:space="preserve">Administradores: </w:t>
            </w:r>
          </w:p>
        </w:tc>
        <w:tc>
          <w:tcPr>
            <w:tcW w:w="3114" w:type="pct"/>
            <w:vAlign w:val="center"/>
          </w:tcPr>
          <w:p w14:paraId="711E12DD" w14:textId="77777777" w:rsidR="003F68F9" w:rsidRPr="00FE57FC" w:rsidRDefault="003F68F9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Octávio Luiz Bromatti </w:t>
            </w:r>
          </w:p>
          <w:p w14:paraId="29C6AF4F" w14:textId="729CED88" w:rsidR="00046E95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>Cargo: Presidente</w:t>
            </w:r>
            <w:r w:rsidR="006A2280" w:rsidRPr="00FE57FC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 e </w:t>
            </w: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Diretor </w:t>
            </w:r>
            <w:r w:rsidR="004A38D3">
              <w:rPr>
                <w:rFonts w:ascii="Garamond" w:hAnsi="Garamond" w:cs="Arial"/>
                <w:color w:val="002060"/>
                <w:sz w:val="24"/>
                <w:szCs w:val="24"/>
              </w:rPr>
              <w:t>de Garantias</w:t>
            </w:r>
            <w:r w:rsidR="006A2280" w:rsidRPr="00FE57FC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 Interino</w:t>
            </w:r>
          </w:p>
          <w:p w14:paraId="46402977" w14:textId="6690DEE6" w:rsidR="00D00648" w:rsidRPr="00FE57FC" w:rsidRDefault="004A38D3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>
              <w:rPr>
                <w:rFonts w:ascii="Garamond" w:hAnsi="Garamond" w:cs="Arial"/>
                <w:color w:val="002060"/>
                <w:sz w:val="24"/>
                <w:szCs w:val="24"/>
              </w:rPr>
              <w:t>Fabiano Maia Pereira</w:t>
            </w:r>
          </w:p>
          <w:p w14:paraId="268383D0" w14:textId="38B4C47E" w:rsidR="00046E95" w:rsidRPr="00FE57FC" w:rsidRDefault="004425AF" w:rsidP="00214AAE">
            <w:pPr>
              <w:spacing w:line="276" w:lineRule="auto"/>
              <w:jc w:val="both"/>
              <w:rPr>
                <w:rFonts w:ascii="Garamond" w:hAnsi="Garamond" w:cs="Arial"/>
                <w:color w:val="002060"/>
                <w:sz w:val="24"/>
                <w:szCs w:val="24"/>
              </w:rPr>
            </w:pPr>
            <w:r w:rsidRPr="00FE57FC">
              <w:rPr>
                <w:rFonts w:ascii="Garamond" w:hAnsi="Garamond" w:cs="Arial"/>
                <w:color w:val="002060"/>
                <w:sz w:val="24"/>
                <w:szCs w:val="24"/>
              </w:rPr>
              <w:t xml:space="preserve">Cargo: Diretor </w:t>
            </w:r>
            <w:r w:rsidR="004A38D3">
              <w:rPr>
                <w:rFonts w:ascii="Garamond" w:hAnsi="Garamond" w:cs="Arial"/>
                <w:color w:val="002060"/>
                <w:sz w:val="24"/>
                <w:szCs w:val="24"/>
              </w:rPr>
              <w:t>Administrativo Financeiro</w:t>
            </w:r>
          </w:p>
        </w:tc>
        <w:bookmarkStart w:id="0" w:name="_GoBack"/>
        <w:bookmarkEnd w:id="0"/>
      </w:tr>
    </w:tbl>
    <w:p w14:paraId="7D768B1E" w14:textId="5E9D6C80" w:rsidR="004D041E" w:rsidRPr="00FE57FC" w:rsidRDefault="004425AF" w:rsidP="00214AAE">
      <w:pPr>
        <w:spacing w:after="0"/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FE57FC">
        <w:rPr>
          <w:rFonts w:ascii="Garamond" w:hAnsi="Garamond" w:cs="Arial"/>
          <w:b/>
          <w:color w:val="002060"/>
          <w:sz w:val="24"/>
          <w:szCs w:val="24"/>
        </w:rPr>
        <w:t xml:space="preserve">Data de </w:t>
      </w:r>
      <w:r w:rsidR="004A38D3">
        <w:rPr>
          <w:rFonts w:ascii="Garamond" w:hAnsi="Garamond" w:cs="Arial"/>
          <w:b/>
          <w:color w:val="002060"/>
          <w:sz w:val="24"/>
          <w:szCs w:val="24"/>
        </w:rPr>
        <w:t xml:space="preserve">Divulgação: </w:t>
      </w:r>
      <w:r w:rsidR="00135464">
        <w:rPr>
          <w:rFonts w:ascii="Garamond" w:hAnsi="Garamond" w:cs="Arial"/>
          <w:b/>
          <w:color w:val="002060"/>
          <w:sz w:val="24"/>
          <w:szCs w:val="24"/>
        </w:rPr>
        <w:t>25</w:t>
      </w:r>
      <w:r w:rsidR="004A38D3">
        <w:rPr>
          <w:rFonts w:ascii="Garamond" w:hAnsi="Garamond" w:cs="Arial"/>
          <w:b/>
          <w:color w:val="002060"/>
          <w:sz w:val="24"/>
          <w:szCs w:val="24"/>
        </w:rPr>
        <w:t>.04.2023</w:t>
      </w:r>
    </w:p>
    <w:p w14:paraId="47C3FC3A" w14:textId="36CF16DB" w:rsidR="00046E95" w:rsidRPr="00FE57FC" w:rsidRDefault="004B1E9D" w:rsidP="00AD5BC0">
      <w:pPr>
        <w:pageBreakBefore/>
        <w:jc w:val="center"/>
        <w:rPr>
          <w:rFonts w:ascii="Garamond" w:hAnsi="Garamond" w:cs="Arial"/>
          <w:b/>
          <w:color w:val="002060"/>
          <w:sz w:val="28"/>
          <w:szCs w:val="28"/>
        </w:rPr>
      </w:pPr>
      <w:r w:rsidRPr="00FE57FC">
        <w:rPr>
          <w:rFonts w:ascii="Garamond" w:hAnsi="Garamond" w:cs="Arial"/>
          <w:b/>
          <w:color w:val="002060"/>
          <w:sz w:val="28"/>
          <w:szCs w:val="28"/>
        </w:rPr>
        <w:lastRenderedPageBreak/>
        <w:t xml:space="preserve">POLÍTICAS PÚBLICAS E </w:t>
      </w:r>
      <w:r w:rsidR="004425AF" w:rsidRPr="00FE57FC">
        <w:rPr>
          <w:rFonts w:ascii="Garamond" w:hAnsi="Garamond" w:cs="Arial"/>
          <w:b/>
          <w:color w:val="002060"/>
          <w:sz w:val="28"/>
          <w:szCs w:val="28"/>
        </w:rPr>
        <w:t xml:space="preserve">GOVERNANÇA </w:t>
      </w:r>
      <w:r w:rsidRPr="00FE57FC">
        <w:rPr>
          <w:rFonts w:ascii="Garamond" w:hAnsi="Garamond" w:cs="Arial"/>
          <w:b/>
          <w:color w:val="002060"/>
          <w:sz w:val="28"/>
          <w:szCs w:val="28"/>
        </w:rPr>
        <w:t>CORPORATIVA</w:t>
      </w:r>
    </w:p>
    <w:p w14:paraId="44B02080" w14:textId="77777777" w:rsidR="003A5CC8" w:rsidRPr="00FE57FC" w:rsidRDefault="003A5CC8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</w:p>
    <w:p w14:paraId="33DBA9C4" w14:textId="77777777" w:rsidR="00046E95" w:rsidRPr="00FE57FC" w:rsidRDefault="004425AF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>A Lei nº 13.303/2016, em seu art. 8º, inciso I, exige a elaboração de “</w:t>
      </w:r>
      <w:r w:rsidRPr="00FE57FC">
        <w:rPr>
          <w:rFonts w:ascii="Garamond" w:hAnsi="Garamond" w:cs="Arial"/>
          <w:i/>
          <w:color w:val="002060"/>
          <w:sz w:val="24"/>
          <w:szCs w:val="24"/>
        </w:rPr>
        <w:t>carta anual, subscrita pelos membros do Conselho de Administração, com a explicitação dos compromissos de consecução de objetivos de políticas públicas pela empresa pública, pela sociedade de economia mista e por suas subsidiárias, em atendimento ao interesse coletivo ou ao imperativo de segurança nacional que justificou a autorização para suas respectivas criações, com definição clara dos recursos a serem empregados para esse fim, bem como dos impactos econômico-financeiros da consecução desses objetivos, mensuráveis por meio de indicadores objetivos</w:t>
      </w:r>
      <w:r w:rsidRPr="00FE57FC">
        <w:rPr>
          <w:rFonts w:ascii="Garamond" w:hAnsi="Garamond" w:cs="Arial"/>
          <w:color w:val="002060"/>
          <w:sz w:val="24"/>
          <w:szCs w:val="24"/>
        </w:rPr>
        <w:t>”. Essas informações estão detalhadas a seguir.</w:t>
      </w:r>
    </w:p>
    <w:p w14:paraId="0D0C80D3" w14:textId="77777777" w:rsidR="003A5CC8" w:rsidRPr="00FE57FC" w:rsidRDefault="003A5CC8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</w:p>
    <w:p w14:paraId="7FA9B67A" w14:textId="5F161DC9" w:rsidR="00E0685D" w:rsidRPr="005A78FB" w:rsidRDefault="00E0685D" w:rsidP="00AD5BC0">
      <w:pPr>
        <w:jc w:val="center"/>
        <w:rPr>
          <w:rFonts w:ascii="Garamond" w:hAnsi="Garamond" w:cs="Arial"/>
          <w:b/>
          <w:color w:val="002060"/>
          <w:sz w:val="32"/>
          <w:szCs w:val="32"/>
        </w:rPr>
      </w:pPr>
      <w:r w:rsidRPr="005A78FB">
        <w:rPr>
          <w:rFonts w:ascii="Garamond" w:hAnsi="Garamond" w:cs="Arial"/>
          <w:b/>
          <w:color w:val="002060"/>
          <w:sz w:val="32"/>
          <w:szCs w:val="32"/>
        </w:rPr>
        <w:t>POLÍTICAS PÚBLICAS</w:t>
      </w:r>
    </w:p>
    <w:p w14:paraId="6E81818E" w14:textId="77777777" w:rsidR="00E0685D" w:rsidRDefault="00E0685D" w:rsidP="00AD5BC0">
      <w:pPr>
        <w:jc w:val="center"/>
        <w:rPr>
          <w:rFonts w:ascii="Garamond" w:hAnsi="Garamond" w:cs="Arial"/>
          <w:b/>
          <w:color w:val="002060"/>
          <w:sz w:val="24"/>
          <w:szCs w:val="24"/>
        </w:rPr>
      </w:pPr>
    </w:p>
    <w:p w14:paraId="33B6D01B" w14:textId="596480B0" w:rsidR="00046E95" w:rsidRPr="00FE57FC" w:rsidRDefault="00E0685D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FE57FC">
        <w:rPr>
          <w:rFonts w:ascii="Garamond" w:hAnsi="Garamond" w:cs="Arial"/>
          <w:b/>
          <w:color w:val="002060"/>
          <w:sz w:val="24"/>
          <w:szCs w:val="24"/>
        </w:rPr>
        <w:t>1. INTERESSE PÚBLICO SUBJACENTE ÀS ATIVIDADES EMPRESARIAIS</w:t>
      </w:r>
    </w:p>
    <w:p w14:paraId="075A7128" w14:textId="77777777" w:rsidR="00243E42" w:rsidRPr="00FE57FC" w:rsidRDefault="004425AF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 xml:space="preserve">De acordo com os artigos </w:t>
      </w:r>
      <w:r w:rsidR="00621601" w:rsidRPr="00FE57FC">
        <w:rPr>
          <w:rFonts w:ascii="Garamond" w:hAnsi="Garamond" w:cs="Arial"/>
          <w:color w:val="002060"/>
          <w:sz w:val="24"/>
          <w:szCs w:val="24"/>
        </w:rPr>
        <w:t xml:space="preserve">33, </w:t>
      </w:r>
      <w:r w:rsidRPr="00FE57FC">
        <w:rPr>
          <w:rFonts w:ascii="Garamond" w:hAnsi="Garamond" w:cs="Arial"/>
          <w:color w:val="002060"/>
          <w:sz w:val="24"/>
          <w:szCs w:val="24"/>
        </w:rPr>
        <w:t>38 e 57 da Lei nº 12.712, de 30</w:t>
      </w:r>
      <w:r w:rsidR="00952C2C" w:rsidRPr="00FE57FC">
        <w:rPr>
          <w:rFonts w:ascii="Garamond" w:hAnsi="Garamond" w:cs="Arial"/>
          <w:color w:val="002060"/>
          <w:sz w:val="24"/>
          <w:szCs w:val="24"/>
        </w:rPr>
        <w:t>/</w:t>
      </w:r>
      <w:r w:rsidRPr="00FE57FC">
        <w:rPr>
          <w:rFonts w:ascii="Garamond" w:hAnsi="Garamond" w:cs="Arial"/>
          <w:color w:val="002060"/>
          <w:sz w:val="24"/>
          <w:szCs w:val="24"/>
        </w:rPr>
        <w:t>08</w:t>
      </w:r>
      <w:r w:rsidR="00952C2C" w:rsidRPr="00FE57FC">
        <w:rPr>
          <w:rFonts w:ascii="Garamond" w:hAnsi="Garamond" w:cs="Arial"/>
          <w:color w:val="002060"/>
          <w:sz w:val="24"/>
          <w:szCs w:val="24"/>
        </w:rPr>
        <w:t>/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2012, a ABGF tem por objeto: </w:t>
      </w:r>
    </w:p>
    <w:p w14:paraId="33B3BABD" w14:textId="77777777" w:rsidR="00243E42" w:rsidRPr="00FE57FC" w:rsidRDefault="004425AF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" w:name="art38i"/>
      <w:bookmarkEnd w:id="1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I – a concessão de garantias contra riscos:</w:t>
      </w:r>
    </w:p>
    <w:p w14:paraId="110FA8C6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2" w:name="art38ia"/>
      <w:bookmarkEnd w:id="2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a) de morte e invalidez permanente (MIP) do mutuário, em operações de crédito habitacional no âmbito de programas ou instituições oficiais;</w:t>
      </w:r>
    </w:p>
    <w:p w14:paraId="20CA6BAE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3" w:name="art38ib"/>
      <w:bookmarkEnd w:id="3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b) de danos físicos ao imóvel (DFI), em operações de crédito habitacional no âmbito de programas ou instituições oficiais;</w:t>
      </w:r>
    </w:p>
    <w:p w14:paraId="1091AB16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4" w:name="art38ic"/>
      <w:bookmarkEnd w:id="4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c) de crédito, em operações de crédito habitacional, no âmbito de programas ou instituições oficiais;</w:t>
      </w:r>
    </w:p>
    <w:p w14:paraId="3F5D194C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5" w:name="art38id"/>
      <w:bookmarkEnd w:id="5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d) comerciais, em operações de crédito ao comércio exterior com prazo superior a 2 (dois) anos;</w:t>
      </w:r>
    </w:p>
    <w:p w14:paraId="71A05C30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6" w:name="art38ie"/>
      <w:bookmarkEnd w:id="6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e) políticos e extraordinários, em operações de crédito ao comércio exterior de qualquer prazo;</w:t>
      </w:r>
    </w:p>
    <w:p w14:paraId="2FFD86A3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7" w:name="art38if"/>
      <w:bookmarkEnd w:id="7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f) de descumprimento de obrigações contratuais referentes a operações de exportação de bens ou serviços, conforme garantias previstas em estatuto;</w:t>
      </w:r>
    </w:p>
    <w:p w14:paraId="2C22F5F4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8" w:name="art38ig"/>
      <w:bookmarkEnd w:id="8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g) de crédito, em operações de aquisição de máquinas e implementos agrícolas, no âmbito de programas ou instituições oficiais;</w:t>
      </w:r>
    </w:p>
    <w:p w14:paraId="54426A34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9" w:name="art38ih"/>
      <w:bookmarkEnd w:id="9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h) de crédito, em operações a microempreendedores individuais, autônomos, micr</w:t>
      </w:r>
      <w:r w:rsidR="002118B7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o, pequenas e médias empresas; </w:t>
      </w:r>
    </w:p>
    <w:p w14:paraId="12F1418F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0" w:name="art38i.i"/>
      <w:bookmarkEnd w:id="10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i) de crédito educativo no âmbito de programas ou instituições oficiais;</w:t>
      </w:r>
    </w:p>
    <w:p w14:paraId="4C6CB74E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1" w:name="art38ij"/>
      <w:bookmarkEnd w:id="11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j) comerciais, em operações de crédito ao comércio exterior para micro, pequenas e médias empresas; e</w:t>
      </w:r>
    </w:p>
    <w:p w14:paraId="01C1198F" w14:textId="77777777" w:rsidR="00243E42" w:rsidRPr="00FE57FC" w:rsidRDefault="004425AF" w:rsidP="00AD5BC0">
      <w:pPr>
        <w:spacing w:after="0"/>
        <w:ind w:left="284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2" w:name="art38ik"/>
      <w:bookmarkEnd w:id="12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k) do mercado de seguros rurais privados, na forma de cobertura suplementar, nas modalidades agrícola, pecuária, aquícola, florestal e de penhor rural.</w:t>
      </w:r>
    </w:p>
    <w:p w14:paraId="67FE3DD7" w14:textId="77777777" w:rsidR="00243E42" w:rsidRPr="00FE57FC" w:rsidRDefault="004425AF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3" w:name="art38ii"/>
      <w:bookmarkStart w:id="14" w:name="art38ii.."/>
      <w:bookmarkEnd w:id="13"/>
      <w:bookmarkEnd w:id="14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II – a constituição, a administração, a gestão e a representação de fundos garantidores e de outros fundos de interesse da União; </w:t>
      </w:r>
    </w:p>
    <w:p w14:paraId="1F975879" w14:textId="77777777" w:rsidR="00243E42" w:rsidRPr="00FE57FC" w:rsidRDefault="004425AF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5" w:name="art38iii"/>
      <w:bookmarkEnd w:id="15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lastRenderedPageBreak/>
        <w:t>III – a constituição, administração, gestão e representação de fundos que tenham por único objetivo a cobertura suplementar dos riscos de seguro rural nas modalidades agrícola, pecuária, aquícola e florestal, desde que autorizada pela legislação aplicável aos seguros privados, observadas as disposições estabelecidas pelo órgão regulador de seguros;</w:t>
      </w:r>
    </w:p>
    <w:p w14:paraId="0C29CBA3" w14:textId="77777777" w:rsidR="00243E42" w:rsidRPr="00FE57FC" w:rsidRDefault="004425AF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bookmarkStart w:id="16" w:name="art38iv"/>
      <w:bookmarkStart w:id="17" w:name="art38iv."/>
      <w:bookmarkEnd w:id="16"/>
      <w:bookmarkEnd w:id="17"/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IV – a constituição, a administração, a gestão e a representação do fundo de que trata o </w:t>
      </w:r>
      <w:hyperlink r:id="rId13" w:anchor="art10" w:history="1">
        <w:r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art. 10 da Lei nº 8.374, de 30</w:t>
        </w:r>
        <w:r w:rsidR="0034536B"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.12.</w:t>
        </w:r>
        <w:r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1991</w:t>
        </w:r>
      </w:hyperlink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, observadas as disposições estabelecidas pelo órgão regulador de seguros;</w:t>
      </w:r>
    </w:p>
    <w:p w14:paraId="3A75F01A" w14:textId="3753B463" w:rsidR="003048E2" w:rsidRPr="00FE57FC" w:rsidRDefault="00915E75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Nesse contexto</w:t>
      </w:r>
      <w:r w:rsidR="00621601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, a ABGF é a Empresa: (i) contratada para</w:t>
      </w:r>
      <w:r w:rsidR="004425AF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a execução de serviços relacionados ao seguro de crédito à exportação, inclusive análise, acompanhamento, gestão das operações de prestação de garantias, nos termos do art. 4º da Lei nº 6.704, de 26</w:t>
      </w:r>
      <w:r w:rsidR="00952C2C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/</w:t>
      </w:r>
      <w:r w:rsidR="004425AF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10</w:t>
      </w:r>
      <w:r w:rsidR="00952C2C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/</w:t>
      </w:r>
      <w:r w:rsidR="004425AF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1979; </w:t>
      </w:r>
      <w:r w:rsidR="00621601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(ii) encarregada da </w:t>
      </w:r>
      <w:r w:rsidR="004425AF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gestão do FESR até a completa liquidação das obrigações desse Fundo, observadas as regras estabelecidas pelo CNSP, conforme previsto no </w:t>
      </w:r>
      <w:hyperlink r:id="rId14" w:anchor="art18" w:history="1">
        <w:r w:rsidR="004425AF"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art. 18 da Lei Complementar nº 137, de 26</w:t>
        </w:r>
        <w:r w:rsidR="0034536B"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.</w:t>
        </w:r>
        <w:r w:rsidR="004425AF"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08</w:t>
        </w:r>
        <w:r w:rsidR="0034536B"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.</w:t>
        </w:r>
        <w:r w:rsidR="004425AF" w:rsidRPr="00FE57FC">
          <w:rPr>
            <w:rFonts w:ascii="Garamond" w:eastAsia="Times New Roman" w:hAnsi="Garamond" w:cs="Arial"/>
            <w:color w:val="002060"/>
            <w:sz w:val="24"/>
            <w:szCs w:val="24"/>
            <w:lang w:eastAsia="pt-BR"/>
          </w:rPr>
          <w:t>2010</w:t>
        </w:r>
      </w:hyperlink>
      <w:r w:rsidR="00621601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; e (iii) responsável por administrar o</w:t>
      </w:r>
      <w:r w:rsidR="003048E2" w:rsidRPr="00FE57FC">
        <w:rPr>
          <w:rFonts w:ascii="Garamond" w:hAnsi="Garamond" w:cs="Arial"/>
          <w:color w:val="002060"/>
          <w:sz w:val="24"/>
          <w:szCs w:val="24"/>
        </w:rPr>
        <w:t xml:space="preserve"> Fundo Garantidor de Infraestrutura (FGIE). </w:t>
      </w:r>
    </w:p>
    <w:p w14:paraId="5988DEA6" w14:textId="1760A810" w:rsidR="004B1E9D" w:rsidRPr="00FE57FC" w:rsidRDefault="00915E75" w:rsidP="00AD5BC0">
      <w:pPr>
        <w:jc w:val="both"/>
        <w:rPr>
          <w:rFonts w:ascii="Garamond" w:hAnsi="Garamond"/>
          <w:color w:val="002060"/>
          <w:sz w:val="24"/>
          <w:szCs w:val="24"/>
        </w:rPr>
      </w:pPr>
      <w:r>
        <w:rPr>
          <w:rFonts w:ascii="Garamond" w:hAnsi="Garamond" w:cs="Arial"/>
          <w:color w:val="002060"/>
          <w:sz w:val="24"/>
          <w:szCs w:val="24"/>
        </w:rPr>
        <w:t>D</w:t>
      </w:r>
      <w:r w:rsidR="00621601" w:rsidRPr="00FE57FC">
        <w:rPr>
          <w:rFonts w:ascii="Garamond" w:hAnsi="Garamond" w:cs="Arial"/>
          <w:color w:val="002060"/>
          <w:sz w:val="24"/>
          <w:szCs w:val="24"/>
        </w:rPr>
        <w:t xml:space="preserve">e acordo com o </w:t>
      </w:r>
      <w:r w:rsidR="00AC25A9" w:rsidRPr="00FE57FC">
        <w:rPr>
          <w:rFonts w:ascii="Garamond" w:hAnsi="Garamond" w:cs="Arial"/>
          <w:color w:val="002060"/>
          <w:sz w:val="24"/>
          <w:szCs w:val="24"/>
        </w:rPr>
        <w:t xml:space="preserve">Decreto </w:t>
      </w:r>
      <w:r w:rsidR="00621601" w:rsidRPr="00FE57FC">
        <w:rPr>
          <w:rFonts w:ascii="Garamond" w:hAnsi="Garamond" w:cs="Arial"/>
          <w:color w:val="002060"/>
          <w:sz w:val="24"/>
          <w:szCs w:val="24"/>
        </w:rPr>
        <w:t>nº 10.007, de 05</w:t>
      </w:r>
      <w:r w:rsidR="0034536B" w:rsidRPr="00FE57FC">
        <w:rPr>
          <w:rFonts w:ascii="Garamond" w:hAnsi="Garamond" w:cs="Arial"/>
          <w:color w:val="002060"/>
          <w:sz w:val="24"/>
          <w:szCs w:val="24"/>
        </w:rPr>
        <w:t>.</w:t>
      </w:r>
      <w:r w:rsidR="00621601" w:rsidRPr="00FE57FC">
        <w:rPr>
          <w:rFonts w:ascii="Garamond" w:hAnsi="Garamond" w:cs="Arial"/>
          <w:color w:val="002060"/>
          <w:sz w:val="24"/>
          <w:szCs w:val="24"/>
        </w:rPr>
        <w:t>09</w:t>
      </w:r>
      <w:r w:rsidR="0034536B" w:rsidRPr="00FE57FC">
        <w:rPr>
          <w:rFonts w:ascii="Garamond" w:hAnsi="Garamond" w:cs="Arial"/>
          <w:color w:val="002060"/>
          <w:sz w:val="24"/>
          <w:szCs w:val="24"/>
        </w:rPr>
        <w:t>.</w:t>
      </w:r>
      <w:r w:rsidR="00621601" w:rsidRPr="00FE57FC">
        <w:rPr>
          <w:rFonts w:ascii="Garamond" w:hAnsi="Garamond" w:cs="Arial"/>
          <w:color w:val="002060"/>
          <w:sz w:val="24"/>
          <w:szCs w:val="24"/>
        </w:rPr>
        <w:t xml:space="preserve">2019, 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 xml:space="preserve">a ABGF foi qualificada no âmbito do Programa de Parcerias de Investimentos da Presidência da República 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>(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>PPI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>)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 xml:space="preserve"> e incluída no Programa Nacional de Desestatização 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>(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>PND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 xml:space="preserve">), sendo o 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 xml:space="preserve">Banco Nacional de Desenvolvimento Econômico e Social 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>(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>BNDES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 xml:space="preserve">) o órgão designado </w:t>
      </w:r>
      <w:r w:rsidR="004B1E9D" w:rsidRPr="00FE57FC">
        <w:rPr>
          <w:rFonts w:ascii="Garamond" w:hAnsi="Garamond" w:cs="Arial"/>
          <w:color w:val="002060"/>
          <w:sz w:val="24"/>
          <w:szCs w:val="24"/>
        </w:rPr>
        <w:t>como responsável pela execução e acompanhamento dos atos necessários à desestatização da ABGF, nos termos do disposto no </w:t>
      </w:r>
      <w:hyperlink r:id="rId15" w:anchor="art6%C2%A71" w:history="1">
        <w:r w:rsidR="004B1E9D" w:rsidRPr="00FE57FC">
          <w:rPr>
            <w:rFonts w:ascii="Garamond" w:hAnsi="Garamond"/>
            <w:color w:val="002060"/>
            <w:sz w:val="24"/>
            <w:szCs w:val="24"/>
          </w:rPr>
          <w:t xml:space="preserve">§ 1º do art. 6º da Lei nº 9.491, de </w:t>
        </w:r>
        <w:r w:rsidR="00DA0F18">
          <w:rPr>
            <w:rFonts w:ascii="Garamond" w:hAnsi="Garamond"/>
            <w:color w:val="002060"/>
            <w:sz w:val="24"/>
            <w:szCs w:val="24"/>
          </w:rPr>
          <w:t>0</w:t>
        </w:r>
        <w:r w:rsidR="004B1E9D" w:rsidRPr="00FE57FC">
          <w:rPr>
            <w:rFonts w:ascii="Garamond" w:hAnsi="Garamond"/>
            <w:color w:val="002060"/>
            <w:sz w:val="24"/>
            <w:szCs w:val="24"/>
          </w:rPr>
          <w:t>9 de setembro de 1997. </w:t>
        </w:r>
      </w:hyperlink>
    </w:p>
    <w:p w14:paraId="72D271E6" w14:textId="379FC89B" w:rsidR="00DC5D98" w:rsidRPr="00FE57FC" w:rsidRDefault="00903A77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>Até o final do exercício de 202</w:t>
      </w:r>
      <w:r w:rsidR="0013458E">
        <w:rPr>
          <w:rFonts w:ascii="Garamond" w:hAnsi="Garamond" w:cs="Arial"/>
          <w:color w:val="002060"/>
          <w:sz w:val="24"/>
          <w:szCs w:val="24"/>
        </w:rPr>
        <w:t>2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 não havia sido definido o modelo de desestatização a ser adotado para a ABGF</w:t>
      </w:r>
      <w:r w:rsidR="00DC5D98" w:rsidRPr="00FE57FC">
        <w:rPr>
          <w:rFonts w:ascii="Garamond" w:hAnsi="Garamond" w:cs="Arial"/>
          <w:color w:val="002060"/>
          <w:sz w:val="24"/>
          <w:szCs w:val="24"/>
        </w:rPr>
        <w:t xml:space="preserve">.  </w:t>
      </w:r>
    </w:p>
    <w:p w14:paraId="0E687E77" w14:textId="149D84A8" w:rsidR="007C594A" w:rsidRDefault="00E0685D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bookmarkStart w:id="18" w:name="_Toc414015049"/>
      <w:bookmarkStart w:id="19" w:name="_Toc427684012"/>
      <w:r w:rsidRPr="00FE57FC">
        <w:rPr>
          <w:rFonts w:ascii="Garamond" w:hAnsi="Garamond" w:cs="Arial"/>
          <w:b/>
          <w:color w:val="002060"/>
          <w:sz w:val="24"/>
          <w:szCs w:val="24"/>
        </w:rPr>
        <w:t xml:space="preserve">2. </w:t>
      </w:r>
      <w:r>
        <w:rPr>
          <w:rFonts w:ascii="Garamond" w:hAnsi="Garamond" w:cs="Arial"/>
          <w:b/>
          <w:color w:val="002060"/>
          <w:sz w:val="24"/>
          <w:szCs w:val="24"/>
        </w:rPr>
        <w:t>POLÍTICAS PÚBLICAS</w:t>
      </w:r>
      <w:r w:rsidRPr="00FE57FC">
        <w:rPr>
          <w:rFonts w:ascii="Garamond" w:hAnsi="Garamond" w:cs="Arial"/>
          <w:b/>
          <w:color w:val="002060"/>
          <w:sz w:val="24"/>
          <w:szCs w:val="24"/>
        </w:rPr>
        <w:t xml:space="preserve"> </w:t>
      </w:r>
    </w:p>
    <w:p w14:paraId="4BC5590A" w14:textId="10D1590D" w:rsidR="0010479F" w:rsidRDefault="00915E75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bookmarkStart w:id="20" w:name="_Hlk129945753"/>
      <w:r>
        <w:rPr>
          <w:rFonts w:ascii="Garamond" w:hAnsi="Garamond" w:cs="Arial"/>
          <w:color w:val="002060"/>
          <w:sz w:val="24"/>
          <w:szCs w:val="24"/>
        </w:rPr>
        <w:t xml:space="preserve">Considerando </w:t>
      </w:r>
      <w:r w:rsidR="00A97246">
        <w:rPr>
          <w:rFonts w:ascii="Garamond" w:hAnsi="Garamond" w:cs="Arial"/>
          <w:color w:val="002060"/>
          <w:sz w:val="24"/>
          <w:szCs w:val="24"/>
        </w:rPr>
        <w:t>a qualificação da empresa no PND</w:t>
      </w:r>
      <w:r>
        <w:rPr>
          <w:rFonts w:ascii="Garamond" w:hAnsi="Garamond" w:cs="Arial"/>
          <w:color w:val="002060"/>
          <w:sz w:val="24"/>
          <w:szCs w:val="24"/>
        </w:rPr>
        <w:t xml:space="preserve">, a ABGF atualmente está realizando as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políticas públicas a seguir apresentadas. </w:t>
      </w:r>
    </w:p>
    <w:bookmarkEnd w:id="20"/>
    <w:p w14:paraId="79F6E1EA" w14:textId="22A9C7F3" w:rsidR="00537D04" w:rsidRDefault="00AD5BC0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AD5BC0">
        <w:rPr>
          <w:rFonts w:ascii="Garamond" w:hAnsi="Garamond" w:cs="Arial"/>
          <w:color w:val="002060"/>
          <w:sz w:val="24"/>
          <w:szCs w:val="24"/>
        </w:rPr>
        <w:t xml:space="preserve">De acordo com o Planejamento Estratégico da ABGF, ciclo 2022-2026, a missão da Empresa é “contribuir para a execução das políticas públicas relativas à administração de fundos e operacionalização de garantias prestadas com recursos da União”. 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Devido ao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atual 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contexto em </w:t>
      </w:r>
      <w:r w:rsidR="0013458E">
        <w:rPr>
          <w:rFonts w:ascii="Garamond" w:hAnsi="Garamond" w:cs="Arial"/>
          <w:color w:val="002060"/>
          <w:sz w:val="24"/>
          <w:szCs w:val="24"/>
        </w:rPr>
        <w:t>está inserida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>, não foi possível buscar novos negócios, o que impacta diretamente nas receitas da empresa, que estão limitadas aos contratos atualmente vigentes</w:t>
      </w:r>
      <w:r w:rsidR="0013458E">
        <w:rPr>
          <w:rFonts w:ascii="Garamond" w:hAnsi="Garamond" w:cs="Arial"/>
          <w:color w:val="002060"/>
          <w:sz w:val="24"/>
          <w:szCs w:val="24"/>
        </w:rPr>
        <w:t xml:space="preserve">.  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Esta situação não impediu a </w:t>
      </w:r>
      <w:r w:rsidR="00A97246">
        <w:rPr>
          <w:rFonts w:ascii="Garamond" w:hAnsi="Garamond" w:cs="Arial"/>
          <w:color w:val="002060"/>
          <w:sz w:val="24"/>
          <w:szCs w:val="24"/>
        </w:rPr>
        <w:t>e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mpresa de manter seu equilíbrio econômico-financeiro, e possibilitando pelo segundo ano seguido alcançar lucro operacional, e encerrar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o exercício de 2022 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com um índice de eficiência operacional de 0,89. Este índice demonstra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o resultado do 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trabalho </w:t>
      </w:r>
      <w:r w:rsidR="00A97246">
        <w:rPr>
          <w:rFonts w:ascii="Garamond" w:hAnsi="Garamond" w:cs="Arial"/>
          <w:color w:val="002060"/>
          <w:sz w:val="24"/>
          <w:szCs w:val="24"/>
        </w:rPr>
        <w:t>realizado pela Administração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 para entregar o objeto social para a qual foi criada, com a eficiência que compõe </w:t>
      </w:r>
      <w:r w:rsidR="00A97246">
        <w:rPr>
          <w:rFonts w:ascii="Garamond" w:hAnsi="Garamond" w:cs="Arial"/>
          <w:color w:val="002060"/>
          <w:sz w:val="24"/>
          <w:szCs w:val="24"/>
        </w:rPr>
        <w:t>um d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 xml:space="preserve">os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principais </w:t>
      </w:r>
      <w:r w:rsidR="0013458E" w:rsidRPr="0013458E">
        <w:rPr>
          <w:rFonts w:ascii="Garamond" w:hAnsi="Garamond" w:cs="Arial"/>
          <w:color w:val="002060"/>
          <w:sz w:val="24"/>
          <w:szCs w:val="24"/>
        </w:rPr>
        <w:t>valores do nosso planejamento estratégico.</w:t>
      </w:r>
    </w:p>
    <w:bookmarkEnd w:id="18"/>
    <w:bookmarkEnd w:id="19"/>
    <w:p w14:paraId="7E0EE6FE" w14:textId="183B9E98" w:rsidR="0013458E" w:rsidRDefault="0013458E" w:rsidP="00214AAE">
      <w:pPr>
        <w:autoSpaceDE w:val="0"/>
        <w:autoSpaceDN w:val="0"/>
        <w:adjustRightInd w:val="0"/>
        <w:jc w:val="both"/>
        <w:rPr>
          <w:rFonts w:ascii="Garamond" w:hAnsi="Garamond" w:cs="Arial"/>
          <w:color w:val="002060"/>
          <w:sz w:val="24"/>
          <w:szCs w:val="24"/>
        </w:rPr>
      </w:pPr>
      <w:r>
        <w:rPr>
          <w:rFonts w:ascii="Garamond" w:hAnsi="Garamond" w:cs="Arial"/>
          <w:color w:val="002060"/>
          <w:sz w:val="24"/>
          <w:szCs w:val="24"/>
        </w:rPr>
        <w:t xml:space="preserve">De acordo com o artigo 11 do </w:t>
      </w:r>
      <w:r w:rsidRPr="0013458E">
        <w:rPr>
          <w:rFonts w:ascii="Garamond" w:hAnsi="Garamond" w:cs="Arial"/>
          <w:color w:val="002060"/>
          <w:sz w:val="24"/>
          <w:szCs w:val="24"/>
        </w:rPr>
        <w:t xml:space="preserve">Decreto 10.918, de 29.12.2021, </w:t>
      </w:r>
      <w:r>
        <w:rPr>
          <w:rFonts w:ascii="Garamond" w:hAnsi="Garamond" w:cs="Arial"/>
          <w:color w:val="002060"/>
          <w:sz w:val="24"/>
          <w:szCs w:val="24"/>
        </w:rPr>
        <w:t>cabe a ABGF</w:t>
      </w:r>
      <w:r w:rsidRPr="0013458E">
        <w:rPr>
          <w:rFonts w:ascii="Garamond" w:hAnsi="Garamond" w:cs="Arial"/>
          <w:color w:val="002060"/>
          <w:sz w:val="24"/>
          <w:szCs w:val="24"/>
        </w:rPr>
        <w:t xml:space="preserve"> </w:t>
      </w:r>
      <w:r>
        <w:rPr>
          <w:rFonts w:ascii="Garamond" w:hAnsi="Garamond" w:cs="Arial"/>
          <w:color w:val="002060"/>
          <w:sz w:val="24"/>
          <w:szCs w:val="24"/>
        </w:rPr>
        <w:t>a</w:t>
      </w:r>
      <w:r w:rsidRPr="0013458E">
        <w:rPr>
          <w:rFonts w:ascii="Garamond" w:hAnsi="Garamond" w:cs="Arial"/>
          <w:color w:val="002060"/>
          <w:sz w:val="24"/>
          <w:szCs w:val="24"/>
        </w:rPr>
        <w:t xml:space="preserve"> administração do Fundo Garantidor de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458E">
        <w:rPr>
          <w:rFonts w:ascii="Garamond" w:hAnsi="Garamond" w:cs="Arial"/>
          <w:color w:val="002060"/>
          <w:sz w:val="24"/>
          <w:szCs w:val="24"/>
        </w:rPr>
        <w:t xml:space="preserve">Infraestrutura </w:t>
      </w:r>
      <w:r>
        <w:rPr>
          <w:rFonts w:ascii="Garamond" w:hAnsi="Garamond" w:cs="Arial"/>
          <w:color w:val="002060"/>
          <w:sz w:val="24"/>
          <w:szCs w:val="24"/>
        </w:rPr>
        <w:t xml:space="preserve">(FGIE) </w:t>
      </w:r>
      <w:r w:rsidRPr="0013458E">
        <w:rPr>
          <w:rFonts w:ascii="Garamond" w:hAnsi="Garamond" w:cs="Arial"/>
          <w:color w:val="002060"/>
          <w:sz w:val="24"/>
          <w:szCs w:val="24"/>
        </w:rPr>
        <w:t>enquanto não for efetuada a adequação do estatuto de que trata o caput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458E">
        <w:rPr>
          <w:rFonts w:ascii="Garamond" w:hAnsi="Garamond" w:cs="Arial"/>
          <w:color w:val="002060"/>
          <w:sz w:val="24"/>
          <w:szCs w:val="24"/>
        </w:rPr>
        <w:t xml:space="preserve">e a contratação da instituição financeira administradora selecionada </w:t>
      </w:r>
      <w:r>
        <w:rPr>
          <w:rFonts w:ascii="Garamond" w:hAnsi="Garamond" w:cs="Arial"/>
          <w:color w:val="002060"/>
          <w:sz w:val="24"/>
          <w:szCs w:val="24"/>
        </w:rPr>
        <w:t xml:space="preserve">para a gestão do </w:t>
      </w:r>
      <w:r w:rsidRPr="00214AAE">
        <w:rPr>
          <w:rFonts w:ascii="Garamond" w:hAnsi="Garamond" w:cs="Arial"/>
          <w:color w:val="002060"/>
          <w:sz w:val="24"/>
          <w:szCs w:val="24"/>
        </w:rPr>
        <w:t xml:space="preserve">Fundo de Desenvolvimento da Infraestrutura Regional Sustentável, que será criado a partir da reestruturação do FGIE. O Decreto estabelece, ainda, </w:t>
      </w:r>
      <w:r w:rsidRPr="00214AAE">
        <w:rPr>
          <w:rFonts w:ascii="Garamond" w:hAnsi="Garamond" w:cs="Arial"/>
          <w:color w:val="002060"/>
          <w:sz w:val="24"/>
          <w:szCs w:val="24"/>
        </w:rPr>
        <w:lastRenderedPageBreak/>
        <w:t xml:space="preserve">que a ABGF não está autorizada </w:t>
      </w:r>
      <w:r w:rsidRPr="0013458E">
        <w:rPr>
          <w:rFonts w:ascii="Garamond" w:hAnsi="Garamond" w:cs="Arial"/>
          <w:color w:val="002060"/>
          <w:sz w:val="24"/>
          <w:szCs w:val="24"/>
        </w:rPr>
        <w:t>a contratar novas operações do Fundo Garantidor de Infraestrutura além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458E">
        <w:rPr>
          <w:rFonts w:ascii="Garamond" w:hAnsi="Garamond" w:cs="Arial"/>
          <w:color w:val="002060"/>
          <w:sz w:val="24"/>
          <w:szCs w:val="24"/>
        </w:rPr>
        <w:t>daquelas em curso em 19 de maio de 2021.</w:t>
      </w:r>
      <w:r w:rsidR="00E26A1F">
        <w:rPr>
          <w:rFonts w:ascii="Garamond" w:hAnsi="Garamond" w:cs="Arial"/>
          <w:color w:val="002060"/>
          <w:sz w:val="24"/>
          <w:szCs w:val="24"/>
        </w:rPr>
        <w:t xml:space="preserve"> Considerando esta conjuntura, não foi possível a </w:t>
      </w:r>
      <w:r w:rsidR="00214AAE">
        <w:rPr>
          <w:rFonts w:ascii="Garamond" w:hAnsi="Garamond" w:cs="Arial"/>
          <w:color w:val="002060"/>
          <w:sz w:val="24"/>
          <w:szCs w:val="24"/>
        </w:rPr>
        <w:t>a</w:t>
      </w:r>
      <w:r w:rsidR="00E26A1F">
        <w:rPr>
          <w:rFonts w:ascii="Garamond" w:hAnsi="Garamond" w:cs="Arial"/>
          <w:color w:val="002060"/>
          <w:sz w:val="24"/>
          <w:szCs w:val="24"/>
        </w:rPr>
        <w:t>nálise de novos projetos de infraestruturas para garantia do FGIE em 2022</w:t>
      </w:r>
      <w:r w:rsidR="00544771">
        <w:rPr>
          <w:rFonts w:ascii="Garamond" w:hAnsi="Garamond" w:cs="Arial"/>
          <w:color w:val="002060"/>
          <w:sz w:val="24"/>
          <w:szCs w:val="24"/>
        </w:rPr>
        <w:t>. C</w:t>
      </w:r>
      <w:r w:rsidR="00E26A1F">
        <w:rPr>
          <w:rFonts w:ascii="Garamond" w:hAnsi="Garamond" w:cs="Arial"/>
          <w:color w:val="002060"/>
          <w:sz w:val="24"/>
          <w:szCs w:val="24"/>
        </w:rPr>
        <w:t xml:space="preserve">ontudo a ABGF permanece atuando com eficiência na gestão do Fundo, preparando as bases para realizar a transição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para o novo </w:t>
      </w:r>
      <w:r w:rsidR="00E26A1F">
        <w:rPr>
          <w:rFonts w:ascii="Garamond" w:hAnsi="Garamond" w:cs="Arial"/>
          <w:color w:val="002060"/>
          <w:sz w:val="24"/>
          <w:szCs w:val="24"/>
        </w:rPr>
        <w:t xml:space="preserve">Fundo tão logo a União sinalize desta forma. </w:t>
      </w:r>
    </w:p>
    <w:p w14:paraId="326EA3FA" w14:textId="343ACF75" w:rsidR="00544771" w:rsidRDefault="00214AAE" w:rsidP="00B22540">
      <w:pPr>
        <w:autoSpaceDE w:val="0"/>
        <w:autoSpaceDN w:val="0"/>
        <w:adjustRightInd w:val="0"/>
        <w:jc w:val="both"/>
        <w:rPr>
          <w:rFonts w:ascii="Garamond" w:hAnsi="Garamond" w:cs="Arial"/>
          <w:color w:val="002060"/>
          <w:sz w:val="24"/>
          <w:szCs w:val="24"/>
        </w:rPr>
      </w:pPr>
      <w:r>
        <w:rPr>
          <w:rFonts w:ascii="Garamond" w:hAnsi="Garamond" w:cs="Arial"/>
          <w:color w:val="002060"/>
          <w:sz w:val="24"/>
          <w:szCs w:val="24"/>
        </w:rPr>
        <w:t xml:space="preserve">Quanto </w:t>
      </w:r>
      <w:r w:rsidR="00A97246">
        <w:rPr>
          <w:rFonts w:ascii="Garamond" w:hAnsi="Garamond" w:cs="Arial"/>
          <w:color w:val="002060"/>
          <w:sz w:val="24"/>
          <w:szCs w:val="24"/>
        </w:rPr>
        <w:t>à</w:t>
      </w:r>
      <w:r>
        <w:rPr>
          <w:rFonts w:ascii="Garamond" w:hAnsi="Garamond" w:cs="Arial"/>
          <w:color w:val="002060"/>
          <w:sz w:val="24"/>
          <w:szCs w:val="24"/>
        </w:rPr>
        <w:t xml:space="preserve"> administração do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Fundo de Estabilidade do Seguro Rural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(FESR), em 2022 foi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finalizada a apuração do resultado do FESR – Exercício 2021.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As contribuições para o Fundo somaram R$ 281,3 milhões e as indenizações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R$ 22,78 milhões. As contribuições foram integralmente recebidas das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seguradoras em junho de 2022 e as indenizações foram pagas pelo Fundo em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duas tranches, sendo a primeira em outubro de 2022, no valor de R$ 17,1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milhões, e a segunda em dezembro do mesmo ano, no valor restante de R$ 5,68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milhões.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Cumpre registrar que a comunicação com as Seguradoras utilizou o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Sistema de Gestão do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Fundo de Estabilidade do Seguro Rural – SGFESR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, desenvolvido pela ABGF,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que automatizou o processo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de apuração do Fundo, recebimento de documentação das seguradoras, além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de reunir em ambiente amigável, na internet, os dados dos participantes do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544771" w:rsidRPr="00544771">
        <w:rPr>
          <w:rFonts w:ascii="Garamond" w:hAnsi="Garamond" w:cs="Arial"/>
          <w:color w:val="002060"/>
          <w:sz w:val="24"/>
          <w:szCs w:val="24"/>
        </w:rPr>
        <w:t>Fundo.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Realizando a gestão do FESR</w:t>
      </w:r>
      <w:r w:rsidR="00A97246">
        <w:rPr>
          <w:rFonts w:ascii="Garamond" w:hAnsi="Garamond" w:cs="Arial"/>
          <w:color w:val="002060"/>
          <w:sz w:val="24"/>
          <w:szCs w:val="24"/>
        </w:rPr>
        <w:t>,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a ABGF auxilia na manutenção da política de est</w:t>
      </w:r>
      <w:r w:rsidR="00A97246">
        <w:rPr>
          <w:rFonts w:ascii="Garamond" w:hAnsi="Garamond" w:cs="Arial"/>
          <w:color w:val="002060"/>
          <w:sz w:val="24"/>
          <w:szCs w:val="24"/>
        </w:rPr>
        <w:t>í</w:t>
      </w:r>
      <w:r w:rsidR="00544771">
        <w:rPr>
          <w:rFonts w:ascii="Garamond" w:hAnsi="Garamond" w:cs="Arial"/>
          <w:color w:val="002060"/>
          <w:sz w:val="24"/>
          <w:szCs w:val="24"/>
        </w:rPr>
        <w:t>mul</w:t>
      </w:r>
      <w:r w:rsidR="00A97246">
        <w:rPr>
          <w:rFonts w:ascii="Garamond" w:hAnsi="Garamond" w:cs="Arial"/>
          <w:color w:val="002060"/>
          <w:sz w:val="24"/>
          <w:szCs w:val="24"/>
        </w:rPr>
        <w:t>o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ao setor agrícola brasileiro, </w:t>
      </w:r>
      <w:r w:rsidR="006E5287" w:rsidRPr="006E5287">
        <w:rPr>
          <w:rFonts w:ascii="Garamond" w:hAnsi="Garamond" w:cs="Arial"/>
          <w:color w:val="002060"/>
          <w:sz w:val="24"/>
          <w:szCs w:val="24"/>
        </w:rPr>
        <w:t xml:space="preserve">uma vez que as seguradoras são indenizadas nos casos em que </w:t>
      </w:r>
      <w:r w:rsidR="00A97246" w:rsidRPr="006E5287">
        <w:rPr>
          <w:rFonts w:ascii="Garamond" w:hAnsi="Garamond" w:cs="Arial"/>
          <w:color w:val="002060"/>
          <w:sz w:val="24"/>
          <w:szCs w:val="24"/>
        </w:rPr>
        <w:t>o valor dos sinistros retidos supera</w:t>
      </w:r>
      <w:r w:rsidR="006E5287" w:rsidRPr="006E5287">
        <w:rPr>
          <w:rFonts w:ascii="Garamond" w:hAnsi="Garamond" w:cs="Arial"/>
          <w:color w:val="002060"/>
          <w:sz w:val="24"/>
          <w:szCs w:val="24"/>
        </w:rPr>
        <w:t xml:space="preserve"> o dos prêmios recebidos no exercício, já deduzidas as despesas de carregamento e os custos de resseguro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, </w:t>
      </w:r>
      <w:r w:rsidR="00A97246">
        <w:rPr>
          <w:rFonts w:ascii="Garamond" w:hAnsi="Garamond" w:cs="Arial"/>
          <w:color w:val="002060"/>
          <w:sz w:val="24"/>
          <w:szCs w:val="24"/>
        </w:rPr>
        <w:t>proporcionando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 a manutenção da oferta do seguro rural</w:t>
      </w:r>
      <w:r w:rsidR="006E5287">
        <w:rPr>
          <w:rFonts w:ascii="Garamond" w:hAnsi="Garamond" w:cs="Arial"/>
          <w:color w:val="002060"/>
          <w:sz w:val="24"/>
          <w:szCs w:val="24"/>
        </w:rPr>
        <w:t xml:space="preserve"> ao pequeno agricultor</w:t>
      </w:r>
      <w:r w:rsidR="00544771">
        <w:rPr>
          <w:rFonts w:ascii="Garamond" w:hAnsi="Garamond" w:cs="Arial"/>
          <w:color w:val="002060"/>
          <w:sz w:val="24"/>
          <w:szCs w:val="24"/>
        </w:rPr>
        <w:t xml:space="preserve">. </w:t>
      </w:r>
    </w:p>
    <w:p w14:paraId="373D9540" w14:textId="7F848A42" w:rsidR="00544771" w:rsidRDefault="00B438E1" w:rsidP="00B22540">
      <w:pPr>
        <w:autoSpaceDE w:val="0"/>
        <w:autoSpaceDN w:val="0"/>
        <w:adjustRightInd w:val="0"/>
        <w:jc w:val="both"/>
        <w:rPr>
          <w:rFonts w:ascii="Garamond" w:hAnsi="Garamond" w:cs="Arial"/>
          <w:color w:val="002060"/>
          <w:sz w:val="24"/>
          <w:szCs w:val="24"/>
        </w:rPr>
      </w:pPr>
      <w:r w:rsidRPr="00B22540">
        <w:rPr>
          <w:rFonts w:ascii="Garamond" w:hAnsi="Garamond" w:cs="Arial"/>
          <w:color w:val="002060"/>
          <w:sz w:val="24"/>
          <w:szCs w:val="24"/>
        </w:rPr>
        <w:t>A ABGF presta serviços</w:t>
      </w:r>
      <w:r w:rsidR="008C79F2" w:rsidRPr="00B22540">
        <w:rPr>
          <w:rFonts w:ascii="Garamond" w:hAnsi="Garamond" w:cs="Arial"/>
          <w:color w:val="002060"/>
          <w:sz w:val="24"/>
          <w:szCs w:val="24"/>
        </w:rPr>
        <w:t xml:space="preserve"> para a União de </w:t>
      </w:r>
      <w:r w:rsidR="008C79F2" w:rsidRPr="00AD5BC0">
        <w:rPr>
          <w:rFonts w:ascii="Garamond" w:hAnsi="Garamond" w:cs="Arial"/>
          <w:color w:val="002060"/>
          <w:sz w:val="24"/>
          <w:szCs w:val="24"/>
        </w:rPr>
        <w:t xml:space="preserve">operacionalização de garantias </w:t>
      </w:r>
      <w:r w:rsidR="008C79F2">
        <w:rPr>
          <w:rFonts w:ascii="Garamond" w:hAnsi="Garamond" w:cs="Arial"/>
          <w:color w:val="002060"/>
          <w:sz w:val="24"/>
          <w:szCs w:val="24"/>
        </w:rPr>
        <w:t xml:space="preserve">de crédito à exportação </w:t>
      </w:r>
      <w:r w:rsidR="008C79F2" w:rsidRPr="00AD5BC0">
        <w:rPr>
          <w:rFonts w:ascii="Garamond" w:hAnsi="Garamond" w:cs="Arial"/>
          <w:color w:val="002060"/>
          <w:sz w:val="24"/>
          <w:szCs w:val="24"/>
        </w:rPr>
        <w:t>prestadas com recursos</w:t>
      </w:r>
      <w:r w:rsidRPr="00B22540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8C79F2" w:rsidRPr="00B22540">
        <w:rPr>
          <w:rFonts w:ascii="Garamond" w:hAnsi="Garamond" w:cs="Arial"/>
          <w:color w:val="002060"/>
          <w:sz w:val="24"/>
          <w:szCs w:val="24"/>
        </w:rPr>
        <w:t xml:space="preserve">do Fundo de Garantia à Exportação, fundo </w:t>
      </w:r>
      <w:r w:rsidRPr="00B22540">
        <w:rPr>
          <w:rFonts w:ascii="Garamond" w:hAnsi="Garamond" w:cs="Arial"/>
          <w:color w:val="002060"/>
          <w:sz w:val="24"/>
          <w:szCs w:val="24"/>
        </w:rPr>
        <w:t>este de natureza contábil, cujos recursos integram a conta</w:t>
      </w:r>
      <w:r w:rsidR="008C79F2" w:rsidRPr="00B22540"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B22540">
        <w:rPr>
          <w:rFonts w:ascii="Garamond" w:hAnsi="Garamond" w:cs="Arial"/>
          <w:color w:val="002060"/>
          <w:sz w:val="24"/>
          <w:szCs w:val="24"/>
        </w:rPr>
        <w:t>única do Tesouro Nacional</w:t>
      </w:r>
      <w:r w:rsidR="008C79F2" w:rsidRPr="00B22540">
        <w:rPr>
          <w:rFonts w:ascii="Garamond" w:hAnsi="Garamond" w:cs="Arial"/>
          <w:color w:val="002060"/>
          <w:sz w:val="24"/>
          <w:szCs w:val="24"/>
        </w:rPr>
        <w:t>, cumprindo o disposto na Lei nº 6.704/1979</w:t>
      </w:r>
      <w:r w:rsidRPr="00B22540">
        <w:rPr>
          <w:rFonts w:ascii="Garamond" w:hAnsi="Garamond" w:cs="Arial"/>
          <w:color w:val="002060"/>
          <w:sz w:val="24"/>
          <w:szCs w:val="24"/>
        </w:rPr>
        <w:t>.</w:t>
      </w:r>
      <w:r w:rsidR="008C79F2" w:rsidRPr="00B22540">
        <w:rPr>
          <w:rFonts w:ascii="Garamond" w:hAnsi="Garamond" w:cs="Arial"/>
          <w:color w:val="002060"/>
          <w:sz w:val="24"/>
          <w:szCs w:val="24"/>
        </w:rPr>
        <w:t xml:space="preserve"> </w:t>
      </w:r>
      <w:r w:rsidR="00B22540" w:rsidRPr="00B22540">
        <w:rPr>
          <w:rFonts w:ascii="Garamond" w:hAnsi="Garamond" w:cs="Arial"/>
          <w:color w:val="002060"/>
          <w:sz w:val="24"/>
          <w:szCs w:val="24"/>
        </w:rPr>
        <w:t xml:space="preserve">Como exemplo das atividades envolvidas, a ABGF realiza a gestão da carteira do FGE, cuja exposição total está em US$ 6,86 bilhões (posição em 31/10/2022). É a responsável pelo recebimento dos pedidos de apoio oficial, realizando as análises de riscos e encaminhando para deliberação </w:t>
      </w:r>
      <w:r w:rsidR="0010479F">
        <w:rPr>
          <w:rFonts w:ascii="Garamond" w:hAnsi="Garamond" w:cs="Arial"/>
          <w:color w:val="002060"/>
          <w:sz w:val="24"/>
          <w:szCs w:val="24"/>
        </w:rPr>
        <w:t xml:space="preserve">à </w:t>
      </w:r>
      <w:r w:rsidR="00B22540">
        <w:rPr>
          <w:rFonts w:ascii="Garamond" w:hAnsi="Garamond" w:cs="Arial"/>
          <w:color w:val="002060"/>
          <w:sz w:val="24"/>
          <w:szCs w:val="24"/>
        </w:rPr>
        <w:t>Secretaria Executiva da Câmara de Comércio Exterior (SE-CAMEX)</w:t>
      </w:r>
      <w:r w:rsidR="00B22540" w:rsidRPr="00B22540">
        <w:rPr>
          <w:rFonts w:ascii="Garamond" w:hAnsi="Garamond" w:cs="Arial"/>
          <w:color w:val="002060"/>
          <w:sz w:val="24"/>
          <w:szCs w:val="24"/>
        </w:rPr>
        <w:t>, com recomendação de deferimento ou indeferimento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 da operação</w:t>
      </w:r>
      <w:r w:rsidR="00B22540" w:rsidRPr="00B22540">
        <w:rPr>
          <w:rFonts w:ascii="Garamond" w:hAnsi="Garamond" w:cs="Arial"/>
          <w:color w:val="002060"/>
          <w:sz w:val="24"/>
          <w:szCs w:val="24"/>
        </w:rPr>
        <w:t>. Apenas nos anos de 2020 a 2022, foram analisadas e encaminhadas para deliberações operações de exportação que envolveram cerca de US$ 2,9 bilhões que, quando concretizadas impactam na balança comercial brasileira.</w:t>
      </w:r>
      <w:r w:rsidR="00B22540">
        <w:rPr>
          <w:rFonts w:ascii="Garamond" w:hAnsi="Garamond" w:cs="Arial"/>
          <w:color w:val="002060"/>
          <w:sz w:val="24"/>
          <w:szCs w:val="24"/>
        </w:rPr>
        <w:t xml:space="preserve"> Desta forma a ABGF contribui para a política de </w:t>
      </w:r>
      <w:r w:rsidR="00E832FB">
        <w:rPr>
          <w:rFonts w:ascii="Garamond" w:hAnsi="Garamond" w:cs="Arial"/>
          <w:color w:val="002060"/>
          <w:sz w:val="24"/>
          <w:szCs w:val="24"/>
        </w:rPr>
        <w:t>estímulo</w:t>
      </w:r>
      <w:r w:rsidR="00B22540">
        <w:rPr>
          <w:rFonts w:ascii="Garamond" w:hAnsi="Garamond" w:cs="Arial"/>
          <w:color w:val="002060"/>
          <w:sz w:val="24"/>
          <w:szCs w:val="24"/>
        </w:rPr>
        <w:t xml:space="preserve"> a comércio exterior ao operacionalizar um dos mecanismos chave para a viabilização de operações 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de longo prazo </w:t>
      </w:r>
      <w:r w:rsidR="00B22540">
        <w:rPr>
          <w:rFonts w:ascii="Garamond" w:hAnsi="Garamond" w:cs="Arial"/>
          <w:color w:val="002060"/>
          <w:sz w:val="24"/>
          <w:szCs w:val="24"/>
        </w:rPr>
        <w:t>não absorvidas pelo mercado privado, mas de interesse do país, como o</w:t>
      </w:r>
      <w:r w:rsidR="00A97246">
        <w:rPr>
          <w:rFonts w:ascii="Garamond" w:hAnsi="Garamond" w:cs="Arial"/>
          <w:color w:val="002060"/>
          <w:sz w:val="24"/>
          <w:szCs w:val="24"/>
        </w:rPr>
        <w:t>s</w:t>
      </w:r>
      <w:r w:rsidR="00B22540">
        <w:rPr>
          <w:rFonts w:ascii="Garamond" w:hAnsi="Garamond" w:cs="Arial"/>
          <w:color w:val="002060"/>
          <w:sz w:val="24"/>
          <w:szCs w:val="24"/>
        </w:rPr>
        <w:t xml:space="preserve"> setor</w:t>
      </w:r>
      <w:r w:rsidR="00A97246">
        <w:rPr>
          <w:rFonts w:ascii="Garamond" w:hAnsi="Garamond" w:cs="Arial"/>
          <w:color w:val="002060"/>
          <w:sz w:val="24"/>
          <w:szCs w:val="24"/>
        </w:rPr>
        <w:t>es</w:t>
      </w:r>
      <w:r w:rsidR="00B22540">
        <w:rPr>
          <w:rFonts w:ascii="Garamond" w:hAnsi="Garamond" w:cs="Arial"/>
          <w:color w:val="002060"/>
          <w:sz w:val="24"/>
          <w:szCs w:val="24"/>
        </w:rPr>
        <w:t xml:space="preserve"> de defesa</w:t>
      </w:r>
      <w:r w:rsidR="00A97246">
        <w:rPr>
          <w:rFonts w:ascii="Garamond" w:hAnsi="Garamond" w:cs="Arial"/>
          <w:color w:val="002060"/>
          <w:sz w:val="24"/>
          <w:szCs w:val="24"/>
        </w:rPr>
        <w:t xml:space="preserve"> e o Aeronáutico</w:t>
      </w:r>
      <w:r w:rsidR="00B22540">
        <w:rPr>
          <w:rFonts w:ascii="Garamond" w:hAnsi="Garamond" w:cs="Arial"/>
          <w:color w:val="002060"/>
          <w:sz w:val="24"/>
          <w:szCs w:val="24"/>
        </w:rPr>
        <w:t xml:space="preserve">. </w:t>
      </w:r>
    </w:p>
    <w:p w14:paraId="0E6CB9F9" w14:textId="77777777" w:rsidR="0013458E" w:rsidRDefault="0013458E" w:rsidP="0013458E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2060"/>
          <w:sz w:val="24"/>
          <w:szCs w:val="24"/>
        </w:rPr>
      </w:pPr>
    </w:p>
    <w:p w14:paraId="2B3A1BA9" w14:textId="41192E38" w:rsidR="00895827" w:rsidRDefault="00E0685D" w:rsidP="0013458E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FE57FC">
        <w:rPr>
          <w:rFonts w:ascii="Garamond" w:hAnsi="Garamond" w:cs="Arial"/>
          <w:b/>
          <w:color w:val="002060"/>
          <w:sz w:val="24"/>
          <w:szCs w:val="24"/>
        </w:rPr>
        <w:t>3. METAS RELATIVAS AO DESENVOLVIMENTO DE ATIVIDADES QUE ATENDAM AOS OBJETIVOS DE POLÍTICAS PÚBLICAS.</w:t>
      </w:r>
    </w:p>
    <w:p w14:paraId="3A587415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 ABGF aprovou, em dezembro de 2021, a revisão do seu Planejamento Estratégico para o ciclo 2022-2026. A revisão anual passa pela reavaliação dos direcionadores (missão, visão, diretrizes e objetivos estratégicos), da Matriz SWOT, bem como o conjunto de ações estratégicas necessárias para sua viabilização.</w:t>
      </w:r>
    </w:p>
    <w:p w14:paraId="6E6A1B13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lastRenderedPageBreak/>
        <w:t>As diretrizes estratégicas tiveram como principal foco a conformidade e a integridade das ações a serem desenvolvidas pela Empresa, buscando a efetividade no cumprimento das orientações governamentais.</w:t>
      </w:r>
    </w:p>
    <w:p w14:paraId="779D92BF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p w14:paraId="7313AA7C" w14:textId="08054605" w:rsidR="00745B8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Os objetivos estratégicos foram alterados para atender as disposições regulamentares e as ações estratégicas ajustadas de forma a concentrar os esforços organizacionais que proporcionariam o alcance dos desafios propostos. </w:t>
      </w:r>
    </w:p>
    <w:p w14:paraId="4D5BDEE5" w14:textId="77777777" w:rsidR="0084711E" w:rsidRPr="00AC776D" w:rsidRDefault="0084711E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tbl>
      <w:tblPr>
        <w:tblStyle w:val="Tabelacomgrade"/>
        <w:tblW w:w="5000" w:type="pct"/>
        <w:jc w:val="center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ook w:val="04A0" w:firstRow="1" w:lastRow="0" w:firstColumn="1" w:lastColumn="0" w:noHBand="0" w:noVBand="1"/>
      </w:tblPr>
      <w:tblGrid>
        <w:gridCol w:w="3683"/>
        <w:gridCol w:w="4775"/>
      </w:tblGrid>
      <w:tr w:rsidR="00745B8D" w:rsidRPr="00AC776D" w14:paraId="635F8FBE" w14:textId="77777777" w:rsidTr="00745B8D">
        <w:trPr>
          <w:jc w:val="center"/>
        </w:trPr>
        <w:tc>
          <w:tcPr>
            <w:tcW w:w="2177" w:type="pct"/>
            <w:shd w:val="clear" w:color="auto" w:fill="FFFFFF" w:themeFill="background1"/>
            <w:vAlign w:val="center"/>
            <w:hideMark/>
          </w:tcPr>
          <w:p w14:paraId="5480560D" w14:textId="77777777" w:rsidR="00745B8D" w:rsidRPr="00745B8D" w:rsidRDefault="00745B8D">
            <w:pPr>
              <w:spacing w:line="30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Objetivo Estratégico</w:t>
            </w:r>
          </w:p>
        </w:tc>
        <w:tc>
          <w:tcPr>
            <w:tcW w:w="2823" w:type="pct"/>
            <w:shd w:val="clear" w:color="auto" w:fill="FFFFFF" w:themeFill="background1"/>
            <w:vAlign w:val="center"/>
            <w:hideMark/>
          </w:tcPr>
          <w:p w14:paraId="5A720611" w14:textId="77777777" w:rsidR="00745B8D" w:rsidRPr="00745B8D" w:rsidRDefault="00745B8D">
            <w:pPr>
              <w:spacing w:line="30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Ação Estratégica</w:t>
            </w:r>
          </w:p>
        </w:tc>
      </w:tr>
      <w:tr w:rsidR="00745B8D" w:rsidRPr="00AC776D" w14:paraId="65FC641E" w14:textId="77777777" w:rsidTr="00745B8D">
        <w:trPr>
          <w:jc w:val="center"/>
        </w:trPr>
        <w:tc>
          <w:tcPr>
            <w:tcW w:w="2177" w:type="pct"/>
            <w:vMerge w:val="restart"/>
            <w:vAlign w:val="center"/>
            <w:hideMark/>
          </w:tcPr>
          <w:p w14:paraId="641A567F" w14:textId="77777777" w:rsidR="00745B8D" w:rsidRPr="00AC776D" w:rsidRDefault="00745B8D">
            <w:pPr>
              <w:spacing w:line="300" w:lineRule="auto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1. Assegurar a Sustentabilidade Financeira da Empresa</w:t>
            </w:r>
          </w:p>
        </w:tc>
        <w:tc>
          <w:tcPr>
            <w:tcW w:w="2823" w:type="pct"/>
            <w:vAlign w:val="center"/>
            <w:hideMark/>
          </w:tcPr>
          <w:p w14:paraId="6175243F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1.1 Assegurar o equilíbrio econômico financeiro da ABGF</w:t>
            </w:r>
          </w:p>
        </w:tc>
      </w:tr>
      <w:tr w:rsidR="00745B8D" w:rsidRPr="00AC776D" w14:paraId="36E0F3D5" w14:textId="77777777" w:rsidTr="00745B8D">
        <w:trPr>
          <w:jc w:val="center"/>
        </w:trPr>
        <w:tc>
          <w:tcPr>
            <w:tcW w:w="2177" w:type="pct"/>
            <w:vMerge/>
            <w:vAlign w:val="center"/>
            <w:hideMark/>
          </w:tcPr>
          <w:p w14:paraId="1E99CDEF" w14:textId="77777777" w:rsidR="00745B8D" w:rsidRPr="00AC776D" w:rsidRDefault="00745B8D">
            <w:pPr>
              <w:spacing w:line="300" w:lineRule="auto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2823" w:type="pct"/>
            <w:vAlign w:val="center"/>
            <w:hideMark/>
          </w:tcPr>
          <w:p w14:paraId="0D7E070B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1.2 Manter o capital adequado para as obrigações da ABGF</w:t>
            </w:r>
          </w:p>
        </w:tc>
      </w:tr>
      <w:tr w:rsidR="00745B8D" w:rsidRPr="00AC776D" w14:paraId="3AE773AE" w14:textId="77777777" w:rsidTr="00745B8D">
        <w:trPr>
          <w:jc w:val="center"/>
        </w:trPr>
        <w:tc>
          <w:tcPr>
            <w:tcW w:w="2177" w:type="pct"/>
            <w:vAlign w:val="center"/>
            <w:hideMark/>
          </w:tcPr>
          <w:p w14:paraId="6EF70D1D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2. Assegurar a Gestão do Conhecimento nas linhas de negócio</w:t>
            </w:r>
          </w:p>
        </w:tc>
        <w:tc>
          <w:tcPr>
            <w:tcW w:w="2823" w:type="pct"/>
            <w:vAlign w:val="center"/>
            <w:hideMark/>
          </w:tcPr>
          <w:p w14:paraId="16BF1077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2.1 Manter programas de capacitação e disseminação de conhecimento relativo aos processos de negócios</w:t>
            </w:r>
          </w:p>
        </w:tc>
      </w:tr>
      <w:tr w:rsidR="00745B8D" w:rsidRPr="00AC776D" w14:paraId="767F2821" w14:textId="77777777" w:rsidTr="00745B8D">
        <w:trPr>
          <w:jc w:val="center"/>
        </w:trPr>
        <w:tc>
          <w:tcPr>
            <w:tcW w:w="2177" w:type="pct"/>
            <w:vAlign w:val="center"/>
            <w:hideMark/>
          </w:tcPr>
          <w:p w14:paraId="5C4DBADE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3. Promover a Gestão de Riscos da ABGF</w:t>
            </w:r>
          </w:p>
        </w:tc>
        <w:tc>
          <w:tcPr>
            <w:tcW w:w="2823" w:type="pct"/>
            <w:vAlign w:val="center"/>
            <w:hideMark/>
          </w:tcPr>
          <w:p w14:paraId="2D06BCA1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3.1 Aprimorar o modelo de Gestão de Riscos</w:t>
            </w:r>
          </w:p>
        </w:tc>
      </w:tr>
      <w:tr w:rsidR="00745B8D" w:rsidRPr="00AC776D" w14:paraId="4BB7D965" w14:textId="77777777" w:rsidTr="00745B8D">
        <w:trPr>
          <w:jc w:val="center"/>
        </w:trPr>
        <w:tc>
          <w:tcPr>
            <w:tcW w:w="2177" w:type="pct"/>
            <w:vAlign w:val="center"/>
            <w:hideMark/>
          </w:tcPr>
          <w:p w14:paraId="07336A4F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4. Manter níveis adequados de conformidade</w:t>
            </w:r>
          </w:p>
        </w:tc>
        <w:tc>
          <w:tcPr>
            <w:tcW w:w="2823" w:type="pct"/>
            <w:vAlign w:val="center"/>
            <w:hideMark/>
          </w:tcPr>
          <w:p w14:paraId="5A8216F7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4.1 Assegurar a conformidade dos processos transferidos e finalizados</w:t>
            </w:r>
          </w:p>
        </w:tc>
      </w:tr>
      <w:tr w:rsidR="00745B8D" w:rsidRPr="00AC776D" w14:paraId="65FF7F92" w14:textId="77777777" w:rsidTr="00745B8D">
        <w:trPr>
          <w:jc w:val="center"/>
        </w:trPr>
        <w:tc>
          <w:tcPr>
            <w:tcW w:w="2177" w:type="pct"/>
            <w:vAlign w:val="center"/>
            <w:hideMark/>
          </w:tcPr>
          <w:p w14:paraId="671BE576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 xml:space="preserve">5. Fomentar a Comunicação Institucional </w:t>
            </w:r>
          </w:p>
        </w:tc>
        <w:tc>
          <w:tcPr>
            <w:tcW w:w="2823" w:type="pct"/>
            <w:vAlign w:val="center"/>
            <w:hideMark/>
          </w:tcPr>
          <w:p w14:paraId="343EBDAE" w14:textId="77777777" w:rsidR="00745B8D" w:rsidRPr="00AC776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AC776D">
              <w:rPr>
                <w:rFonts w:ascii="Garamond" w:eastAsia="Times New Roman" w:hAnsi="Garamond" w:cs="Arial"/>
                <w:color w:val="002060"/>
                <w:lang w:eastAsia="pt-BR"/>
              </w:rPr>
              <w:t>5.1 Promover a comunicação institucional da ABGF</w:t>
            </w:r>
          </w:p>
        </w:tc>
      </w:tr>
    </w:tbl>
    <w:p w14:paraId="15CDE932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p w14:paraId="1777DEE2" w14:textId="77777777" w:rsidR="00745B8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No decorrer do ano de 2022, a ABGF trabalhou ativamente para executar as ações estratégicas de forma a cumprir os seus objetivos estratégicos. Os resultados estão apresentados a seguir: </w:t>
      </w:r>
    </w:p>
    <w:p w14:paraId="6CAE5506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tbl>
      <w:tblPr>
        <w:tblStyle w:val="Tabelacomgrade"/>
        <w:tblW w:w="0" w:type="auto"/>
        <w:jc w:val="center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ook w:val="04A0" w:firstRow="1" w:lastRow="0" w:firstColumn="1" w:lastColumn="0" w:noHBand="0" w:noVBand="1"/>
      </w:tblPr>
      <w:tblGrid>
        <w:gridCol w:w="2187"/>
        <w:gridCol w:w="6271"/>
      </w:tblGrid>
      <w:tr w:rsidR="00745B8D" w:rsidRPr="00745B8D" w14:paraId="6025F11F" w14:textId="77777777" w:rsidTr="00745B8D">
        <w:trPr>
          <w:jc w:val="center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7700A79C" w14:textId="77777777" w:rsidR="00745B8D" w:rsidRPr="00745B8D" w:rsidRDefault="00745B8D">
            <w:pPr>
              <w:spacing w:line="30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Objetivo Estratégico</w:t>
            </w:r>
          </w:p>
        </w:tc>
        <w:tc>
          <w:tcPr>
            <w:tcW w:w="0" w:type="auto"/>
            <w:shd w:val="clear" w:color="auto" w:fill="FFFFFF" w:themeFill="background1"/>
            <w:vAlign w:val="center"/>
            <w:hideMark/>
          </w:tcPr>
          <w:p w14:paraId="6F2B032E" w14:textId="77777777" w:rsidR="00745B8D" w:rsidRPr="00745B8D" w:rsidRDefault="00745B8D">
            <w:pPr>
              <w:spacing w:line="30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Resultados</w:t>
            </w:r>
          </w:p>
        </w:tc>
      </w:tr>
      <w:tr w:rsidR="00745B8D" w:rsidRPr="00745B8D" w14:paraId="10F143DE" w14:textId="77777777" w:rsidTr="00745B8D">
        <w:trPr>
          <w:trHeight w:val="1084"/>
          <w:jc w:val="center"/>
        </w:trPr>
        <w:tc>
          <w:tcPr>
            <w:tcW w:w="0" w:type="auto"/>
            <w:vAlign w:val="center"/>
            <w:hideMark/>
          </w:tcPr>
          <w:p w14:paraId="2AA02461" w14:textId="77777777" w:rsidR="00745B8D" w:rsidRPr="00745B8D" w:rsidRDefault="00745B8D">
            <w:pPr>
              <w:spacing w:line="300" w:lineRule="auto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>1. Assegurar a Sustentabilidade Financeira da Empresa</w:t>
            </w:r>
          </w:p>
        </w:tc>
        <w:tc>
          <w:tcPr>
            <w:tcW w:w="0" w:type="auto"/>
            <w:vAlign w:val="center"/>
            <w:hideMark/>
          </w:tcPr>
          <w:p w14:paraId="5CA06937" w14:textId="77777777" w:rsidR="00745B8D" w:rsidRPr="00745B8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 xml:space="preserve">A ABGF alcançou ao fim de 2022 um índice de eficiência operacional de 0,89, o que demonstrou o esforço da Administração em equilibrar as receitas dos serviços prestados com as despesas administrativas, entregando lucro operacional para a sociedade. </w:t>
            </w:r>
          </w:p>
        </w:tc>
      </w:tr>
      <w:tr w:rsidR="00745B8D" w:rsidRPr="00745B8D" w14:paraId="5182EEC3" w14:textId="77777777" w:rsidTr="00745B8D">
        <w:trPr>
          <w:jc w:val="center"/>
        </w:trPr>
        <w:tc>
          <w:tcPr>
            <w:tcW w:w="0" w:type="auto"/>
            <w:vAlign w:val="center"/>
            <w:hideMark/>
          </w:tcPr>
          <w:p w14:paraId="12C549CF" w14:textId="77777777" w:rsidR="00745B8D" w:rsidRPr="00745B8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>2. Assegurar a Gestão do Conhecimento nas linhas de negócio</w:t>
            </w:r>
          </w:p>
        </w:tc>
        <w:tc>
          <w:tcPr>
            <w:tcW w:w="0" w:type="auto"/>
            <w:vAlign w:val="center"/>
          </w:tcPr>
          <w:p w14:paraId="35AD397B" w14:textId="77777777" w:rsidR="00745B8D" w:rsidRPr="00745B8D" w:rsidRDefault="00745B8D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 xml:space="preserve">Ao longo de todo o ano foram promovidos ciclos de capacitação e disseminação de conhecimento relativas aos processos de negócios, por meio de reuniões periódicas para a troca de informações e compartilhamento de conhecimentos, para que as equipes sejam capazes de atender demandas diversas, considerando o quadro reduzido de pessoal, bem como foram promovidos rodízio de funções com o intuito de difundir ainda mais as atividades de negócios para suprir eventuais ausências ou afastamentos. </w:t>
            </w:r>
          </w:p>
        </w:tc>
      </w:tr>
    </w:tbl>
    <w:p w14:paraId="5882D00E" w14:textId="41D099E9" w:rsidR="0084711E" w:rsidRDefault="0084711E"/>
    <w:p w14:paraId="7AAD5343" w14:textId="77777777" w:rsidR="0084711E" w:rsidRDefault="0084711E"/>
    <w:tbl>
      <w:tblPr>
        <w:tblStyle w:val="Tabelacomgrade"/>
        <w:tblW w:w="0" w:type="auto"/>
        <w:jc w:val="center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ook w:val="04A0" w:firstRow="1" w:lastRow="0" w:firstColumn="1" w:lastColumn="0" w:noHBand="0" w:noVBand="1"/>
      </w:tblPr>
      <w:tblGrid>
        <w:gridCol w:w="2245"/>
        <w:gridCol w:w="6213"/>
      </w:tblGrid>
      <w:tr w:rsidR="0084711E" w:rsidRPr="00745B8D" w14:paraId="4E3AD37F" w14:textId="77777777" w:rsidTr="0084711E">
        <w:trPr>
          <w:jc w:val="center"/>
        </w:trPr>
        <w:tc>
          <w:tcPr>
            <w:tcW w:w="2245" w:type="dxa"/>
            <w:vAlign w:val="center"/>
          </w:tcPr>
          <w:p w14:paraId="42C17E1F" w14:textId="3E0AC781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lastRenderedPageBreak/>
              <w:t>Objetivo Estratégico</w:t>
            </w:r>
          </w:p>
        </w:tc>
        <w:tc>
          <w:tcPr>
            <w:tcW w:w="6213" w:type="dxa"/>
            <w:vAlign w:val="center"/>
          </w:tcPr>
          <w:p w14:paraId="14103E83" w14:textId="3E9470A3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Resultados</w:t>
            </w:r>
          </w:p>
        </w:tc>
      </w:tr>
      <w:tr w:rsidR="0084711E" w:rsidRPr="00745B8D" w14:paraId="77852745" w14:textId="77777777" w:rsidTr="0084711E">
        <w:trPr>
          <w:jc w:val="center"/>
        </w:trPr>
        <w:tc>
          <w:tcPr>
            <w:tcW w:w="2245" w:type="dxa"/>
            <w:vAlign w:val="center"/>
            <w:hideMark/>
          </w:tcPr>
          <w:p w14:paraId="270E88D5" w14:textId="77777777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>3. Promover a Gestão de Riscos da ABGF</w:t>
            </w:r>
          </w:p>
        </w:tc>
        <w:tc>
          <w:tcPr>
            <w:tcW w:w="6213" w:type="dxa"/>
            <w:vAlign w:val="center"/>
          </w:tcPr>
          <w:p w14:paraId="73A40C9F" w14:textId="77777777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>Em 2022, a ABGF iniciou o Projeto de aprimoramento da Gestão de Riscos na ABGF, este contemplou principalmente: i) o desenvolvimento da Matriz de Riscos, ii) disseminação da cultura organizacional em gestão de riscos e iii) elaboração da Norma de Gestão de Riscos. Especificamente à Matriz de Riscos ficou estabelecido o escopo do diagnóstico inicial aos riscos operacionais e foi utilizado como metodologia, a Matriz de Probabilidade e Impacto.</w:t>
            </w:r>
          </w:p>
        </w:tc>
      </w:tr>
      <w:tr w:rsidR="0084711E" w:rsidRPr="00745B8D" w14:paraId="458A15AA" w14:textId="77777777" w:rsidTr="0084711E">
        <w:trPr>
          <w:jc w:val="center"/>
        </w:trPr>
        <w:tc>
          <w:tcPr>
            <w:tcW w:w="2245" w:type="dxa"/>
            <w:vAlign w:val="center"/>
            <w:hideMark/>
          </w:tcPr>
          <w:p w14:paraId="4A40777B" w14:textId="77777777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>4. Manter níveis adequados de conformidade</w:t>
            </w:r>
          </w:p>
        </w:tc>
        <w:tc>
          <w:tcPr>
            <w:tcW w:w="6213" w:type="dxa"/>
            <w:vAlign w:val="center"/>
          </w:tcPr>
          <w:p w14:paraId="26347570" w14:textId="77777777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>No ano de 2022 não foi definido a destinação dos serviços prestados pela ABGF, relacionados ao SCE, FGIE e FESR. Entretanto, a ABGF atuou no sentido de manter as políticas públicas em funcionamento, dentro do seu escopo de atuação, evitando qualquer tipo de descontinuidade de serviços.</w:t>
            </w:r>
          </w:p>
        </w:tc>
      </w:tr>
      <w:tr w:rsidR="0084711E" w:rsidRPr="00745B8D" w14:paraId="57C06FB9" w14:textId="77777777" w:rsidTr="0084711E">
        <w:trPr>
          <w:jc w:val="center"/>
        </w:trPr>
        <w:tc>
          <w:tcPr>
            <w:tcW w:w="2245" w:type="dxa"/>
            <w:vAlign w:val="center"/>
            <w:hideMark/>
          </w:tcPr>
          <w:p w14:paraId="5D6DFBA3" w14:textId="77777777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 xml:space="preserve">5. Fomentar a Comunicação Institucional </w:t>
            </w:r>
          </w:p>
        </w:tc>
        <w:tc>
          <w:tcPr>
            <w:tcW w:w="6213" w:type="dxa"/>
            <w:vAlign w:val="center"/>
            <w:hideMark/>
          </w:tcPr>
          <w:p w14:paraId="5F5B9718" w14:textId="77777777" w:rsidR="0084711E" w:rsidRPr="00745B8D" w:rsidRDefault="0084711E" w:rsidP="0084711E">
            <w:pPr>
              <w:spacing w:line="300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745B8D">
              <w:rPr>
                <w:rFonts w:ascii="Garamond" w:eastAsia="Times New Roman" w:hAnsi="Garamond" w:cs="Arial"/>
                <w:color w:val="002060"/>
                <w:lang w:eastAsia="pt-BR"/>
              </w:rPr>
              <w:t xml:space="preserve">Mensalmente a ABGF promoveu palestras institucionais e comunicações internas sobre as atividades desenvolvidas, ferramentas e normas da Empresa, bem como sobre temas relevantes como Assédio Moral e Sexual, Sustentabilidade e Ética Pública. </w:t>
            </w:r>
          </w:p>
        </w:tc>
      </w:tr>
    </w:tbl>
    <w:p w14:paraId="0C8AFDA7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p w14:paraId="4B31A34B" w14:textId="324DE7A2" w:rsidR="00745B8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Para mensurar o alcance do Planejamento Estratégico, foram estabelecidos dois indicadores e metas, que permitiriam avaliar, ao longo do ano, o desempenho organizacional. São eles: retorno sobre patrimônio líquido e equilíbrio econômico-financeiro.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</w:t>
      </w: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O quadro 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 seguir</w:t>
      </w:r>
      <w:r w:rsidRPr="00AC776D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apresenta de forma consolidada os indicadores e resultados alcançados e, em seguida, a análise do desempenho de cada um deles:</w:t>
      </w:r>
    </w:p>
    <w:p w14:paraId="71BBF117" w14:textId="77777777" w:rsidR="00745B8D" w:rsidRPr="00AC776D" w:rsidRDefault="00745B8D" w:rsidP="00745B8D">
      <w:pPr>
        <w:spacing w:after="0" w:line="300" w:lineRule="auto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ook w:val="04A0" w:firstRow="1" w:lastRow="0" w:firstColumn="1" w:lastColumn="0" w:noHBand="0" w:noVBand="1"/>
      </w:tblPr>
      <w:tblGrid>
        <w:gridCol w:w="3995"/>
        <w:gridCol w:w="695"/>
        <w:gridCol w:w="1154"/>
      </w:tblGrid>
      <w:tr w:rsidR="00745B8D" w:rsidRPr="00745B8D" w14:paraId="78E011A4" w14:textId="77777777" w:rsidTr="00745B8D">
        <w:tc>
          <w:tcPr>
            <w:tcW w:w="0" w:type="auto"/>
            <w:vAlign w:val="center"/>
          </w:tcPr>
          <w:p w14:paraId="4A5253DB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/>
                <w:color w:val="002060"/>
              </w:rPr>
            </w:pPr>
            <w:r w:rsidRPr="00745B8D">
              <w:rPr>
                <w:rFonts w:ascii="Garamond" w:eastAsia="Klavika-Bold" w:hAnsi="Garamond" w:cs="Arial"/>
                <w:b/>
                <w:color w:val="002060"/>
              </w:rPr>
              <w:t>Indicadores</w:t>
            </w:r>
          </w:p>
        </w:tc>
        <w:tc>
          <w:tcPr>
            <w:tcW w:w="0" w:type="auto"/>
            <w:vAlign w:val="center"/>
          </w:tcPr>
          <w:p w14:paraId="5367C9B4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/>
                <w:color w:val="002060"/>
              </w:rPr>
            </w:pPr>
            <w:r w:rsidRPr="00745B8D">
              <w:rPr>
                <w:rFonts w:ascii="Garamond" w:eastAsia="Klavika-Bold" w:hAnsi="Garamond" w:cs="Arial"/>
                <w:b/>
                <w:color w:val="002060"/>
              </w:rPr>
              <w:t>Meta</w:t>
            </w:r>
          </w:p>
        </w:tc>
        <w:tc>
          <w:tcPr>
            <w:tcW w:w="0" w:type="auto"/>
            <w:vAlign w:val="center"/>
          </w:tcPr>
          <w:p w14:paraId="4FB1F3BA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/>
                <w:color w:val="002060"/>
              </w:rPr>
            </w:pPr>
            <w:r w:rsidRPr="00745B8D">
              <w:rPr>
                <w:rFonts w:ascii="Garamond" w:eastAsia="Klavika-Bold" w:hAnsi="Garamond" w:cs="Arial"/>
                <w:b/>
                <w:color w:val="002060"/>
              </w:rPr>
              <w:t>Resultado</w:t>
            </w:r>
          </w:p>
        </w:tc>
      </w:tr>
      <w:tr w:rsidR="00745B8D" w:rsidRPr="00745B8D" w14:paraId="7D806249" w14:textId="77777777" w:rsidTr="00745B8D">
        <w:tc>
          <w:tcPr>
            <w:tcW w:w="0" w:type="auto"/>
            <w:vAlign w:val="center"/>
          </w:tcPr>
          <w:p w14:paraId="4711B012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Cs/>
                <w:color w:val="002060"/>
              </w:rPr>
            </w:pPr>
            <w:r w:rsidRPr="00745B8D">
              <w:rPr>
                <w:rFonts w:ascii="Garamond" w:eastAsia="Klavika-Bold" w:hAnsi="Garamond" w:cs="Arial"/>
                <w:bCs/>
                <w:color w:val="002060"/>
              </w:rPr>
              <w:t>Retorno sobre Patrimônio Líquido Ajustado</w:t>
            </w:r>
          </w:p>
        </w:tc>
        <w:tc>
          <w:tcPr>
            <w:tcW w:w="0" w:type="auto"/>
            <w:vAlign w:val="center"/>
          </w:tcPr>
          <w:p w14:paraId="0C9C872C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Cs/>
                <w:color w:val="002060"/>
              </w:rPr>
            </w:pPr>
            <w:r w:rsidRPr="00745B8D">
              <w:rPr>
                <w:rFonts w:ascii="Garamond" w:eastAsia="Klavika-Bold" w:hAnsi="Garamond" w:cs="Arial"/>
                <w:bCs/>
                <w:color w:val="002060"/>
              </w:rPr>
              <w:t>≥1%</w:t>
            </w:r>
          </w:p>
        </w:tc>
        <w:tc>
          <w:tcPr>
            <w:tcW w:w="0" w:type="auto"/>
            <w:vAlign w:val="center"/>
          </w:tcPr>
          <w:p w14:paraId="6BFA5449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Cs/>
                <w:color w:val="002060"/>
              </w:rPr>
            </w:pPr>
            <w:r w:rsidRPr="00745B8D">
              <w:rPr>
                <w:rFonts w:ascii="Garamond" w:eastAsia="Klavika-Bold" w:hAnsi="Garamond" w:cs="Arial"/>
                <w:bCs/>
                <w:color w:val="002060"/>
              </w:rPr>
              <w:t>7,88 %</w:t>
            </w:r>
          </w:p>
        </w:tc>
      </w:tr>
      <w:tr w:rsidR="00745B8D" w:rsidRPr="00745B8D" w14:paraId="23CDCE0E" w14:textId="77777777" w:rsidTr="00745B8D">
        <w:tc>
          <w:tcPr>
            <w:tcW w:w="0" w:type="auto"/>
            <w:vAlign w:val="center"/>
          </w:tcPr>
          <w:p w14:paraId="41478EC5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Cs/>
                <w:color w:val="002060"/>
              </w:rPr>
            </w:pPr>
            <w:r w:rsidRPr="00745B8D">
              <w:rPr>
                <w:rFonts w:ascii="Garamond" w:eastAsia="Klavika-Bold" w:hAnsi="Garamond" w:cs="Arial"/>
                <w:bCs/>
                <w:color w:val="002060"/>
              </w:rPr>
              <w:t>Equilíbrio Econômico-Financeiro</w:t>
            </w:r>
          </w:p>
        </w:tc>
        <w:tc>
          <w:tcPr>
            <w:tcW w:w="0" w:type="auto"/>
            <w:vAlign w:val="center"/>
          </w:tcPr>
          <w:p w14:paraId="713CE5F8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Cs/>
                <w:color w:val="002060"/>
              </w:rPr>
            </w:pPr>
            <w:r w:rsidRPr="00745B8D">
              <w:rPr>
                <w:rFonts w:ascii="Garamond" w:eastAsia="Klavika-Bold" w:hAnsi="Garamond" w:cs="Arial"/>
                <w:bCs/>
                <w:color w:val="002060"/>
              </w:rPr>
              <w:t>≤ 1</w:t>
            </w:r>
          </w:p>
        </w:tc>
        <w:tc>
          <w:tcPr>
            <w:tcW w:w="0" w:type="auto"/>
            <w:vAlign w:val="center"/>
          </w:tcPr>
          <w:p w14:paraId="484F4318" w14:textId="77777777" w:rsidR="00745B8D" w:rsidRPr="00745B8D" w:rsidRDefault="00745B8D" w:rsidP="00745B8D">
            <w:pPr>
              <w:spacing w:line="276" w:lineRule="auto"/>
              <w:jc w:val="center"/>
              <w:rPr>
                <w:rFonts w:ascii="Garamond" w:eastAsia="Klavika-Bold" w:hAnsi="Garamond" w:cs="Arial"/>
                <w:bCs/>
                <w:color w:val="002060"/>
              </w:rPr>
            </w:pPr>
            <w:r w:rsidRPr="00745B8D">
              <w:rPr>
                <w:rFonts w:ascii="Garamond" w:eastAsia="Klavika-Bold" w:hAnsi="Garamond" w:cs="Arial"/>
                <w:bCs/>
                <w:color w:val="002060"/>
              </w:rPr>
              <w:t>0,66</w:t>
            </w:r>
          </w:p>
        </w:tc>
      </w:tr>
    </w:tbl>
    <w:p w14:paraId="398590BD" w14:textId="77777777" w:rsidR="00745B8D" w:rsidRDefault="00745B8D" w:rsidP="00745B8D">
      <w:pPr>
        <w:spacing w:before="200"/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B97267">
        <w:rPr>
          <w:color w:val="002060"/>
          <w:sz w:val="24"/>
          <w:szCs w:val="24"/>
        </w:rPr>
        <w:br w:type="textWrapping" w:clear="all"/>
      </w:r>
    </w:p>
    <w:p w14:paraId="2966BCDD" w14:textId="1BF19B2D" w:rsidR="00745B8D" w:rsidRPr="00B97267" w:rsidRDefault="006A50A6" w:rsidP="00745B8D">
      <w:pPr>
        <w:spacing w:before="200"/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6A50A6">
        <w:rPr>
          <w:rFonts w:ascii="Garamond" w:eastAsia="Klavika-Bold" w:hAnsi="Garamond" w:cs="Arial"/>
          <w:bCs/>
          <w:color w:val="002060"/>
          <w:sz w:val="24"/>
          <w:szCs w:val="24"/>
        </w:rPr>
        <w:t>Com relação ao retorno sobre o patrimônio líquido ajustado, a ABGF alcançou indicador de 7,88%, resultado 6 vezes superior ao piso da meta estabelecida.</w:t>
      </w:r>
      <w:r w:rsidR="00745B8D" w:rsidRPr="00B97267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Esta superação da meta deve-se </w:t>
      </w:r>
      <w:r w:rsidR="00745B8D">
        <w:rPr>
          <w:rFonts w:ascii="Garamond" w:eastAsia="Klavika-Bold" w:hAnsi="Garamond" w:cs="Arial"/>
          <w:bCs/>
          <w:color w:val="002060"/>
          <w:sz w:val="24"/>
          <w:szCs w:val="24"/>
        </w:rPr>
        <w:t>ao</w:t>
      </w:r>
      <w:r w:rsidR="00745B8D" w:rsidRPr="00AC776D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aumento do Patrimônio Líquido, decorrente da incorporação de reservas legais</w:t>
      </w:r>
      <w:r w:rsidR="00745B8D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e ao </w:t>
      </w:r>
      <w:r w:rsidR="00745B8D" w:rsidRPr="00AC776D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aumento expressivo no Lucro Líquido, na ordem de 231%, </w:t>
      </w:r>
      <w:r w:rsidR="00745B8D">
        <w:rPr>
          <w:rFonts w:ascii="Garamond" w:eastAsia="Klavika-Bold" w:hAnsi="Garamond" w:cs="Arial"/>
          <w:bCs/>
          <w:color w:val="002060"/>
          <w:sz w:val="24"/>
          <w:szCs w:val="24"/>
        </w:rPr>
        <w:t>d</w:t>
      </w:r>
      <w:r w:rsidR="00745B8D" w:rsidRPr="00AC776D">
        <w:rPr>
          <w:rFonts w:ascii="Garamond" w:eastAsia="Klavika-Bold" w:hAnsi="Garamond" w:cs="Arial"/>
          <w:bCs/>
          <w:color w:val="002060"/>
          <w:sz w:val="24"/>
          <w:szCs w:val="24"/>
        </w:rPr>
        <w:t>ecorrente</w:t>
      </w:r>
      <w:r w:rsidR="00745B8D">
        <w:rPr>
          <w:rFonts w:ascii="Garamond" w:eastAsia="Klavika-Bold" w:hAnsi="Garamond" w:cs="Arial"/>
          <w:bCs/>
          <w:color w:val="002060"/>
          <w:sz w:val="24"/>
          <w:szCs w:val="24"/>
        </w:rPr>
        <w:t>,</w:t>
      </w:r>
      <w:r w:rsidR="00745B8D" w:rsidRPr="00AC776D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principalmente, da elevação da taxa de juros do mercado (SELIC).</w:t>
      </w:r>
    </w:p>
    <w:p w14:paraId="65683297" w14:textId="4D65E9E2" w:rsidR="00745B8D" w:rsidRDefault="00745B8D" w:rsidP="00745B8D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B97267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Com relação ao equilíbrio econômico-financeiro da Empresa, </w:t>
      </w:r>
      <w:r>
        <w:rPr>
          <w:rFonts w:ascii="Garamond" w:eastAsia="Klavika-Bold" w:hAnsi="Garamond" w:cs="Arial"/>
          <w:bCs/>
          <w:color w:val="002060"/>
          <w:sz w:val="24"/>
          <w:szCs w:val="24"/>
        </w:rPr>
        <w:t>a</w:t>
      </w:r>
      <w:r w:rsidRPr="00AC776D">
        <w:rPr>
          <w:rFonts w:ascii="Garamond" w:eastAsia="Klavika-Bold" w:hAnsi="Garamond" w:cs="Arial"/>
          <w:bCs/>
          <w:color w:val="002060"/>
          <w:sz w:val="24"/>
          <w:szCs w:val="24"/>
        </w:rPr>
        <w:t>s receitas totais da ABGF aumentaram aproximadamente 68% devido, principalmente ao resultado financeiro líquido, com a elevação das taxas de juros do mercado (SELIC). Já as despesas tiveram um acréscimo de aproximadamente 48% devido a reajustes nos serviços de terceiros e de pessoal próprio, bem como dos tributos sobre o Lucro, que evoluíram em 133,8% em função do acréscimo do Lucro Tributáve</w:t>
      </w:r>
      <w:r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l. </w:t>
      </w:r>
    </w:p>
    <w:p w14:paraId="59CA5692" w14:textId="42680637" w:rsidR="0084711E" w:rsidRDefault="0084711E" w:rsidP="00745B8D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</w:p>
    <w:p w14:paraId="2BC34A64" w14:textId="77777777" w:rsidR="0084711E" w:rsidRDefault="0084711E" w:rsidP="00745B8D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</w:p>
    <w:p w14:paraId="2C6D4732" w14:textId="35A572BE" w:rsidR="00E0685D" w:rsidRDefault="00E0685D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>
        <w:rPr>
          <w:rFonts w:ascii="Garamond" w:hAnsi="Garamond" w:cs="Arial"/>
          <w:b/>
          <w:color w:val="002060"/>
          <w:sz w:val="24"/>
          <w:szCs w:val="24"/>
        </w:rPr>
        <w:lastRenderedPageBreak/>
        <w:t>4. RECURSOS PARA CUSTEIO DAS POLÍTICAS PÚBLICAS</w:t>
      </w:r>
    </w:p>
    <w:p w14:paraId="6BF78CC4" w14:textId="0C8505D8" w:rsidR="00537D04" w:rsidRDefault="00537D04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hAnsi="Garamond"/>
          <w:color w:val="002060"/>
          <w:sz w:val="24"/>
          <w:szCs w:val="24"/>
        </w:rPr>
        <w:t xml:space="preserve">As receitas da Companhia foram geradas pela prestação de serviços à União, </w:t>
      </w:r>
      <w:r w:rsidR="00A97246">
        <w:rPr>
          <w:rFonts w:ascii="Garamond" w:hAnsi="Garamond"/>
          <w:color w:val="002060"/>
          <w:sz w:val="24"/>
          <w:szCs w:val="24"/>
        </w:rPr>
        <w:t>representada pela</w:t>
      </w:r>
      <w:r w:rsidRPr="00FE57FC">
        <w:rPr>
          <w:rFonts w:ascii="Garamond" w:hAnsi="Garamond"/>
          <w:color w:val="002060"/>
          <w:sz w:val="24"/>
          <w:szCs w:val="24"/>
        </w:rPr>
        <w:t xml:space="preserve"> Secretaria Executiva da Câmara de Comércio Exterior do Ministério da Economia (SE-CAMEX/ME), relacionados ao seguro de crédito à exportação ao amparo do Fundo de Garantia à Exportação (FGE), e pela administração do Fundo Garantidor de Infraestrutura (FGIE) e do Fundo de Estabilidade do Seguro Rural (FESR).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O quadro a seguir apresenta o comparativo de receitas operacionais relativos aos anos de 202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1 e 202</w:t>
      </w:r>
      <w:r w:rsidR="00B2254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2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: </w:t>
      </w:r>
    </w:p>
    <w:p w14:paraId="6EA62CA3" w14:textId="77777777" w:rsidR="00E832FB" w:rsidRDefault="00537D04" w:rsidP="00E832FB">
      <w:pPr>
        <w:tabs>
          <w:tab w:val="left" w:pos="7553"/>
        </w:tabs>
        <w:spacing w:after="0"/>
        <w:rPr>
          <w:rFonts w:ascii="Garamond" w:eastAsia="Times New Roman" w:hAnsi="Garamond" w:cs="Arial"/>
          <w:b/>
          <w:bCs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b/>
          <w:bCs/>
          <w:color w:val="002060"/>
          <w:sz w:val="24"/>
          <w:szCs w:val="24"/>
          <w:lang w:eastAsia="pt-BR"/>
        </w:rPr>
        <w:t>Comparativo de receitas operacionais: 202</w:t>
      </w:r>
      <w:r>
        <w:rPr>
          <w:rFonts w:ascii="Garamond" w:eastAsia="Times New Roman" w:hAnsi="Garamond" w:cs="Arial"/>
          <w:b/>
          <w:bCs/>
          <w:color w:val="002060"/>
          <w:sz w:val="24"/>
          <w:szCs w:val="24"/>
          <w:lang w:eastAsia="pt-BR"/>
        </w:rPr>
        <w:t>1</w:t>
      </w:r>
      <w:r w:rsidRPr="00FE57FC">
        <w:rPr>
          <w:rFonts w:ascii="Garamond" w:eastAsia="Times New Roman" w:hAnsi="Garamond" w:cs="Arial"/>
          <w:b/>
          <w:bCs/>
          <w:color w:val="002060"/>
          <w:sz w:val="24"/>
          <w:szCs w:val="24"/>
          <w:lang w:eastAsia="pt-BR"/>
        </w:rPr>
        <w:t>/2</w:t>
      </w:r>
      <w:r>
        <w:rPr>
          <w:rFonts w:ascii="Garamond" w:eastAsia="Times New Roman" w:hAnsi="Garamond" w:cs="Arial"/>
          <w:b/>
          <w:bCs/>
          <w:color w:val="002060"/>
          <w:sz w:val="24"/>
          <w:szCs w:val="24"/>
          <w:lang w:eastAsia="pt-BR"/>
        </w:rPr>
        <w:t>02</w:t>
      </w:r>
      <w:r w:rsidR="00E832FB">
        <w:rPr>
          <w:rFonts w:ascii="Garamond" w:eastAsia="Times New Roman" w:hAnsi="Garamond" w:cs="Arial"/>
          <w:b/>
          <w:bCs/>
          <w:color w:val="002060"/>
          <w:sz w:val="24"/>
          <w:szCs w:val="24"/>
          <w:lang w:eastAsia="pt-BR"/>
        </w:rPr>
        <w:t>2</w:t>
      </w:r>
    </w:p>
    <w:p w14:paraId="3F0ED9A2" w14:textId="6ACAC172" w:rsidR="00537D04" w:rsidRDefault="00537D04" w:rsidP="00E832FB">
      <w:pPr>
        <w:tabs>
          <w:tab w:val="left" w:pos="7553"/>
        </w:tabs>
        <w:spacing w:after="0"/>
        <w:jc w:val="right"/>
        <w:rPr>
          <w:rFonts w:ascii="Garamond" w:eastAsia="Times New Roman" w:hAnsi="Garamond" w:cs="Arial"/>
          <w:bCs/>
          <w:color w:val="002060"/>
          <w:sz w:val="24"/>
          <w:szCs w:val="24"/>
          <w:lang w:eastAsia="pt-BR"/>
        </w:rPr>
      </w:pPr>
      <w:r>
        <w:rPr>
          <w:rFonts w:ascii="Garamond" w:eastAsia="Times New Roman" w:hAnsi="Garamond" w:cs="Arial"/>
          <w:bCs/>
          <w:color w:val="002060"/>
          <w:sz w:val="24"/>
          <w:szCs w:val="24"/>
          <w:lang w:eastAsia="pt-BR"/>
        </w:rPr>
        <w:t>R$</w:t>
      </w:r>
    </w:p>
    <w:tbl>
      <w:tblPr>
        <w:tblW w:w="8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1304"/>
        <w:gridCol w:w="160"/>
        <w:gridCol w:w="1276"/>
        <w:gridCol w:w="160"/>
        <w:gridCol w:w="1361"/>
      </w:tblGrid>
      <w:tr w:rsidR="00537D04" w:rsidRPr="00305532" w14:paraId="40B2029B" w14:textId="77777777" w:rsidTr="002102A8">
        <w:trPr>
          <w:trHeight w:hRule="exact" w:val="34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ECF2FA"/>
            <w:noWrap/>
            <w:vAlign w:val="bottom"/>
            <w:hideMark/>
          </w:tcPr>
          <w:p w14:paraId="37BFEC07" w14:textId="77777777" w:rsidR="00537D04" w:rsidRPr="00305532" w:rsidRDefault="00537D04" w:rsidP="00AD5BC0">
            <w:pPr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3366"/>
              <w:right w:val="nil"/>
            </w:tcBorders>
            <w:shd w:val="clear" w:color="auto" w:fill="ECF2FA"/>
            <w:noWrap/>
            <w:vAlign w:val="bottom"/>
            <w:hideMark/>
          </w:tcPr>
          <w:p w14:paraId="58CE89A8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2021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CF2FA"/>
            <w:vAlign w:val="bottom"/>
            <w:hideMark/>
          </w:tcPr>
          <w:p w14:paraId="0683C5F4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3366"/>
              <w:right w:val="nil"/>
            </w:tcBorders>
            <w:shd w:val="clear" w:color="auto" w:fill="ECF2FA"/>
            <w:noWrap/>
            <w:vAlign w:val="bottom"/>
            <w:hideMark/>
          </w:tcPr>
          <w:p w14:paraId="084DE5E7" w14:textId="3583B20C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202</w:t>
            </w:r>
            <w:r w:rsidR="00B22540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CF2FA"/>
            <w:vAlign w:val="bottom"/>
            <w:hideMark/>
          </w:tcPr>
          <w:p w14:paraId="2F79949A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003366"/>
              <w:right w:val="nil"/>
            </w:tcBorders>
            <w:shd w:val="clear" w:color="auto" w:fill="ECF2FA"/>
            <w:vAlign w:val="bottom"/>
            <w:hideMark/>
          </w:tcPr>
          <w:p w14:paraId="6646AEEF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variação %</w:t>
            </w:r>
          </w:p>
        </w:tc>
      </w:tr>
      <w:tr w:rsidR="00537D04" w:rsidRPr="00305532" w14:paraId="6E990F84" w14:textId="77777777" w:rsidTr="002102A8">
        <w:trPr>
          <w:trHeight w:hRule="exact" w:val="283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AD0D9" w14:textId="77777777" w:rsidR="00537D04" w:rsidRPr="00305532" w:rsidRDefault="00537D04" w:rsidP="00AD5BC0">
            <w:pPr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Prestação de serviços – para SE-CAMEX/ME</w:t>
            </w:r>
          </w:p>
        </w:tc>
        <w:tc>
          <w:tcPr>
            <w:tcW w:w="1304" w:type="dxa"/>
            <w:tcBorders>
              <w:top w:val="single" w:sz="8" w:space="0" w:color="003366"/>
              <w:left w:val="nil"/>
              <w:bottom w:val="nil"/>
              <w:right w:val="nil"/>
            </w:tcBorders>
            <w:shd w:val="clear" w:color="auto" w:fill="auto"/>
            <w:noWrap/>
          </w:tcPr>
          <w:p w14:paraId="07CAD4D3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13.442.456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535AC7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276" w:type="dxa"/>
            <w:tcBorders>
              <w:top w:val="single" w:sz="8" w:space="0" w:color="003366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E39A5" w14:textId="2F6770A4" w:rsidR="00537D04" w:rsidRPr="00305532" w:rsidRDefault="00B22540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>
              <w:rPr>
                <w:rFonts w:ascii="Garamond" w:eastAsia="Times New Roman" w:hAnsi="Garamond" w:cs="Arial"/>
                <w:color w:val="002060"/>
                <w:lang w:eastAsia="pt-BR"/>
              </w:rPr>
              <w:t>14.647.286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62F01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361" w:type="dxa"/>
            <w:tcBorders>
              <w:top w:val="single" w:sz="8" w:space="0" w:color="003366"/>
              <w:left w:val="nil"/>
              <w:bottom w:val="nil"/>
              <w:right w:val="nil"/>
            </w:tcBorders>
            <w:shd w:val="clear" w:color="auto" w:fill="auto"/>
          </w:tcPr>
          <w:p w14:paraId="7FC61ED0" w14:textId="1629A671" w:rsidR="00537D04" w:rsidRPr="00305532" w:rsidRDefault="00B22540" w:rsidP="00B2254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9,0</w:t>
            </w:r>
            <w:r w:rsidR="00E832FB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 xml:space="preserve"> </w:t>
            </w:r>
            <w:r w:rsidR="00537D04"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%</w:t>
            </w:r>
          </w:p>
        </w:tc>
      </w:tr>
      <w:tr w:rsidR="00537D04" w:rsidRPr="00305532" w14:paraId="5F3ACCE0" w14:textId="77777777" w:rsidTr="002102A8">
        <w:trPr>
          <w:trHeight w:hRule="exact" w:val="255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F521D5" w14:textId="77777777" w:rsidR="00537D04" w:rsidRPr="00305532" w:rsidRDefault="00537D04" w:rsidP="00AD5BC0">
            <w:pPr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Administração do FGIE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71FAAFD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1.642.132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4EF981B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6AB3434" w14:textId="439F294C" w:rsidR="00537D04" w:rsidRPr="00305532" w:rsidRDefault="00B22540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>
              <w:rPr>
                <w:rFonts w:ascii="Garamond" w:eastAsia="Times New Roman" w:hAnsi="Garamond" w:cs="Arial"/>
                <w:color w:val="002060"/>
                <w:lang w:eastAsia="pt-BR"/>
              </w:rPr>
              <w:t>1.017.926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0FE740D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CB6E34E" w14:textId="56E2F5C5" w:rsidR="00537D04" w:rsidRPr="00305532" w:rsidRDefault="00537D04" w:rsidP="00B2254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 xml:space="preserve">- </w:t>
            </w:r>
            <w:r w:rsidR="00B22540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38,0</w:t>
            </w:r>
            <w:r w:rsidR="00E832FB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 xml:space="preserve"> </w:t>
            </w: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%</w:t>
            </w:r>
          </w:p>
        </w:tc>
      </w:tr>
      <w:tr w:rsidR="00537D04" w:rsidRPr="00305532" w14:paraId="088A6404" w14:textId="77777777" w:rsidTr="002102A8">
        <w:trPr>
          <w:trHeight w:hRule="exact" w:val="255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D28749" w14:textId="77777777" w:rsidR="00537D04" w:rsidRPr="00305532" w:rsidRDefault="00537D04" w:rsidP="00AD5BC0">
            <w:pPr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Gestão do FESR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09CFA86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5.521.832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143BC05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E9107BF" w14:textId="6A6516C1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color w:val="002060"/>
                <w:lang w:eastAsia="pt-BR"/>
              </w:rPr>
              <w:t>5.</w:t>
            </w:r>
            <w:r w:rsidR="00B22540">
              <w:rPr>
                <w:rFonts w:ascii="Garamond" w:eastAsia="Times New Roman" w:hAnsi="Garamond" w:cs="Arial"/>
                <w:color w:val="002060"/>
                <w:lang w:eastAsia="pt-BR"/>
              </w:rPr>
              <w:t>134.241</w:t>
            </w: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E314DD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EA41A1B" w14:textId="5BFB73A9" w:rsidR="00537D04" w:rsidRPr="00305532" w:rsidRDefault="00B22540" w:rsidP="00B2254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-7,0</w:t>
            </w:r>
            <w:r w:rsidR="00E832FB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 xml:space="preserve"> </w:t>
            </w:r>
            <w:r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%</w:t>
            </w:r>
          </w:p>
        </w:tc>
      </w:tr>
      <w:tr w:rsidR="00537D04" w:rsidRPr="00305532" w14:paraId="08700C57" w14:textId="77777777" w:rsidTr="002102A8">
        <w:trPr>
          <w:trHeight w:hRule="exact" w:val="255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B97A3" w14:textId="77777777" w:rsidR="00537D04" w:rsidRPr="00305532" w:rsidRDefault="00537D04" w:rsidP="00AD5BC0">
            <w:pPr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Receita operacional bruta</w:t>
            </w:r>
          </w:p>
        </w:tc>
        <w:tc>
          <w:tcPr>
            <w:tcW w:w="1304" w:type="dxa"/>
            <w:tcBorders>
              <w:left w:val="nil"/>
              <w:bottom w:val="double" w:sz="6" w:space="0" w:color="003366"/>
              <w:right w:val="nil"/>
            </w:tcBorders>
            <w:shd w:val="clear" w:color="auto" w:fill="auto"/>
            <w:noWrap/>
          </w:tcPr>
          <w:p w14:paraId="63652C2B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20.606.420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5C534D" w14:textId="77777777" w:rsidR="00537D04" w:rsidRPr="00305532" w:rsidRDefault="00537D04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276" w:type="dxa"/>
            <w:tcBorders>
              <w:left w:val="nil"/>
              <w:bottom w:val="double" w:sz="6" w:space="0" w:color="003366"/>
              <w:right w:val="nil"/>
            </w:tcBorders>
            <w:shd w:val="clear" w:color="auto" w:fill="auto"/>
            <w:noWrap/>
          </w:tcPr>
          <w:p w14:paraId="5FF4771B" w14:textId="1081365A" w:rsidR="00537D04" w:rsidRPr="00305532" w:rsidDel="00131C20" w:rsidRDefault="00B22540" w:rsidP="00AD5BC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20.799.453</w:t>
            </w: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A213F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</w:p>
        </w:tc>
        <w:tc>
          <w:tcPr>
            <w:tcW w:w="1361" w:type="dxa"/>
            <w:tcBorders>
              <w:left w:val="nil"/>
              <w:bottom w:val="double" w:sz="6" w:space="0" w:color="003366"/>
              <w:right w:val="nil"/>
            </w:tcBorders>
            <w:shd w:val="clear" w:color="auto" w:fill="auto"/>
          </w:tcPr>
          <w:p w14:paraId="0E2A50F2" w14:textId="58910637" w:rsidR="00537D04" w:rsidRPr="00305532" w:rsidRDefault="00B22540" w:rsidP="00B22540">
            <w:pPr>
              <w:jc w:val="right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0,9</w:t>
            </w:r>
            <w:r w:rsidR="00E832FB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 xml:space="preserve"> </w:t>
            </w:r>
            <w:r w:rsidR="00537D04" w:rsidRPr="00305532">
              <w:rPr>
                <w:rFonts w:ascii="Garamond" w:eastAsia="Times New Roman" w:hAnsi="Garamond" w:cs="Arial"/>
                <w:bCs/>
                <w:color w:val="002060"/>
                <w:lang w:eastAsia="pt-BR"/>
              </w:rPr>
              <w:t>%</w:t>
            </w:r>
          </w:p>
        </w:tc>
      </w:tr>
      <w:tr w:rsidR="00537D04" w:rsidRPr="00305532" w14:paraId="2D733989" w14:textId="77777777" w:rsidTr="002102A8">
        <w:trPr>
          <w:trHeight w:hRule="exact" w:val="30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61077" w14:textId="77777777" w:rsidR="00537D04" w:rsidRPr="00305532" w:rsidRDefault="00537D04" w:rsidP="00AD5BC0">
            <w:pPr>
              <w:jc w:val="both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304" w:type="dxa"/>
            <w:tcBorders>
              <w:top w:val="double" w:sz="6" w:space="0" w:color="003366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027B2D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C2DF0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276" w:type="dxa"/>
            <w:tcBorders>
              <w:top w:val="double" w:sz="6" w:space="0" w:color="003366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BB19B1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57C69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361" w:type="dxa"/>
            <w:tcBorders>
              <w:top w:val="double" w:sz="6" w:space="0" w:color="003366"/>
              <w:left w:val="nil"/>
              <w:right w:val="nil"/>
            </w:tcBorders>
            <w:shd w:val="clear" w:color="auto" w:fill="auto"/>
            <w:vAlign w:val="center"/>
          </w:tcPr>
          <w:p w14:paraId="47128B35" w14:textId="77777777" w:rsidR="00537D04" w:rsidRPr="00305532" w:rsidRDefault="00537D04" w:rsidP="00AD5BC0">
            <w:pPr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</w:tr>
    </w:tbl>
    <w:p w14:paraId="387308F9" w14:textId="7E09B312" w:rsidR="00537D04" w:rsidRDefault="00537D04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Houve aumento </w:t>
      </w:r>
      <w:r w:rsidR="0010479F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de receita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dos serviços prestados à SE-CAMEX/ME, na ordem de 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9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% pela renovação do contrato representando aumento da receita de serviços prestados </w:t>
      </w:r>
      <w:r w:rsidR="00A9724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à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SE-CAMEX a partir de janeiro de 202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2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.</w:t>
      </w:r>
      <w:r w:rsidRPr="00AA74E6">
        <w:t xml:space="preserve"> </w:t>
      </w:r>
      <w:r w:rsidR="00A9724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</w:t>
      </w:r>
      <w:r w:rsidRPr="00AA74E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remuneração da ABGF </w:t>
      </w:r>
      <w:r w:rsidR="00A9724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pela administração do FGIE </w:t>
      </w:r>
      <w:r w:rsidRPr="00AA74E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corresponde a</w:t>
      </w:r>
      <w:r w:rsidR="00A9724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o</w:t>
      </w:r>
      <w:r w:rsidRPr="00AA74E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rateio dos custos administrativos e de pessoal empregados direta e indiretamente na prestação de serviços ao fundo, que tiveram redução significativa em 202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2</w:t>
      </w:r>
      <w:r w:rsidRPr="00AA74E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quando comparado com 202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1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, na ordem de 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-38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%. </w:t>
      </w:r>
      <w:r w:rsidRPr="00015C09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remuneração da Companhia, em relação ao FESR, tem como base a aplicação de 0,25% sobre o montante de prêmios emitidos no triênio anterior. A base de cálculo (prêmios emitidos) teve 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redução de 7%</w:t>
      </w:r>
      <w:r w:rsidRPr="00015C09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da remuneração em 2021, quando comparado com o mesmo período de 202</w:t>
      </w:r>
      <w:r w:rsidR="00E832F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1. </w:t>
      </w:r>
      <w:r w:rsidR="00A9724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Esta redução da receita do FESR se deve a publicação de Portaria SUSEP que determinou que o Penhor Rural, até então obrigatório, passasse a ser facultativo a partir do ano de 2021, o que levou as seguradoras a reduzirem a utilização do FESR para sua cobertura, impactando a remuneração de 2022</w:t>
      </w:r>
      <w:r w:rsidR="00A97246" w:rsidRPr="00015C09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. </w:t>
      </w:r>
      <w:r w:rsidR="00A97246"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</w:t>
      </w:r>
    </w:p>
    <w:p w14:paraId="5527A416" w14:textId="77777777" w:rsidR="0084711E" w:rsidRPr="00FE57FC" w:rsidRDefault="0084711E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p w14:paraId="585161D0" w14:textId="43B0A8B6" w:rsidR="00E0685D" w:rsidRDefault="00E0685D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92431C">
        <w:rPr>
          <w:rFonts w:ascii="Garamond" w:hAnsi="Garamond" w:cs="Arial"/>
          <w:b/>
          <w:color w:val="002060"/>
          <w:sz w:val="24"/>
          <w:szCs w:val="24"/>
        </w:rPr>
        <w:t>5. IMPACTOS ECONOMICO-FINANCEIROS DA OPERACIONALIZAÇÃO DAS POLÍTICAS PÚBLICAS</w:t>
      </w:r>
    </w:p>
    <w:p w14:paraId="6B4517D8" w14:textId="2CB6CC16" w:rsidR="00745B8D" w:rsidRDefault="00745B8D" w:rsidP="00AD5BC0">
      <w:pPr>
        <w:jc w:val="both"/>
        <w:rPr>
          <w:rFonts w:ascii="Garamond" w:hAnsi="Garamond" w:cs="Arial"/>
          <w:bCs/>
          <w:color w:val="002060"/>
          <w:sz w:val="24"/>
          <w:szCs w:val="24"/>
        </w:rPr>
      </w:pPr>
      <w:r>
        <w:rPr>
          <w:rFonts w:ascii="Garamond" w:hAnsi="Garamond" w:cs="Arial"/>
          <w:bCs/>
          <w:color w:val="002060"/>
          <w:sz w:val="24"/>
          <w:szCs w:val="24"/>
        </w:rPr>
        <w:t xml:space="preserve">A ABGF não possui indicadores de negócios, uma vez que são impactados pelo modelo de desestatização a ser definido. Desta forma, os indicadores </w:t>
      </w:r>
      <w:r w:rsidR="00E551B3">
        <w:rPr>
          <w:rFonts w:ascii="Garamond" w:hAnsi="Garamond" w:cs="Arial"/>
          <w:bCs/>
          <w:color w:val="002060"/>
          <w:sz w:val="24"/>
          <w:szCs w:val="24"/>
        </w:rPr>
        <w:t xml:space="preserve">aprovados pelo Conselho de Administração buscam avaliar se os recursos utilizados estão sendo corretamente administrados, considerando os compromissos vigentes da Empresa, dada a sua impossibilidade de buscar novos negócios. </w:t>
      </w:r>
    </w:p>
    <w:p w14:paraId="7BC03F48" w14:textId="1BFD3F90" w:rsidR="00E551B3" w:rsidRDefault="00E551B3" w:rsidP="00AD5BC0">
      <w:pPr>
        <w:jc w:val="both"/>
        <w:rPr>
          <w:rFonts w:ascii="Garamond" w:hAnsi="Garamond" w:cs="Arial"/>
          <w:bCs/>
          <w:color w:val="002060"/>
          <w:sz w:val="24"/>
          <w:szCs w:val="24"/>
        </w:rPr>
      </w:pPr>
      <w:r>
        <w:rPr>
          <w:rFonts w:ascii="Garamond" w:hAnsi="Garamond" w:cs="Arial"/>
          <w:bCs/>
          <w:color w:val="002060"/>
          <w:sz w:val="24"/>
          <w:szCs w:val="24"/>
        </w:rPr>
        <w:t xml:space="preserve">Assim, o quadro </w:t>
      </w:r>
      <w:r w:rsidR="0084711E">
        <w:rPr>
          <w:rFonts w:ascii="Garamond" w:hAnsi="Garamond" w:cs="Arial"/>
          <w:bCs/>
          <w:color w:val="002060"/>
          <w:sz w:val="24"/>
          <w:szCs w:val="24"/>
        </w:rPr>
        <w:t xml:space="preserve">a seguir </w:t>
      </w:r>
      <w:r>
        <w:rPr>
          <w:rFonts w:ascii="Garamond" w:hAnsi="Garamond" w:cs="Arial"/>
          <w:bCs/>
          <w:color w:val="002060"/>
          <w:sz w:val="24"/>
          <w:szCs w:val="24"/>
        </w:rPr>
        <w:t>apresenta os recursos recebidos pela ABGF para a realização de cada política pública e os resultados alcançados:</w:t>
      </w:r>
    </w:p>
    <w:p w14:paraId="7D4CD7F1" w14:textId="6CCEC538" w:rsidR="0084711E" w:rsidRDefault="0084711E" w:rsidP="00AD5BC0">
      <w:pPr>
        <w:jc w:val="both"/>
        <w:rPr>
          <w:rFonts w:ascii="Garamond" w:hAnsi="Garamond" w:cs="Arial"/>
          <w:bCs/>
          <w:color w:val="002060"/>
          <w:sz w:val="24"/>
          <w:szCs w:val="24"/>
        </w:rPr>
      </w:pPr>
    </w:p>
    <w:p w14:paraId="5370DE64" w14:textId="77777777" w:rsidR="0084711E" w:rsidRDefault="0084711E" w:rsidP="00AD5BC0">
      <w:pPr>
        <w:jc w:val="both"/>
        <w:rPr>
          <w:rFonts w:ascii="Garamond" w:hAnsi="Garamond" w:cs="Arial"/>
          <w:bCs/>
          <w:color w:val="002060"/>
          <w:sz w:val="24"/>
          <w:szCs w:val="24"/>
        </w:rPr>
      </w:pPr>
    </w:p>
    <w:tbl>
      <w:tblPr>
        <w:tblStyle w:val="Tabelacomgrade"/>
        <w:tblW w:w="0" w:type="auto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ook w:val="04A0" w:firstRow="1" w:lastRow="0" w:firstColumn="1" w:lastColumn="0" w:noHBand="0" w:noVBand="1"/>
      </w:tblPr>
      <w:tblGrid>
        <w:gridCol w:w="1139"/>
        <w:gridCol w:w="1426"/>
        <w:gridCol w:w="1127"/>
        <w:gridCol w:w="1306"/>
        <w:gridCol w:w="3460"/>
      </w:tblGrid>
      <w:tr w:rsidR="0073550B" w:rsidRPr="0073550B" w14:paraId="0EAB5B0A" w14:textId="78FB17E5" w:rsidTr="00A53FFD">
        <w:tc>
          <w:tcPr>
            <w:tcW w:w="0" w:type="auto"/>
            <w:vAlign w:val="center"/>
          </w:tcPr>
          <w:p w14:paraId="679C9ECB" w14:textId="6D933145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lastRenderedPageBreak/>
              <w:t>Política Pública</w:t>
            </w:r>
          </w:p>
        </w:tc>
        <w:tc>
          <w:tcPr>
            <w:tcW w:w="0" w:type="auto"/>
            <w:vAlign w:val="center"/>
          </w:tcPr>
          <w:p w14:paraId="7E84D29F" w14:textId="2D0D33D6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Recursos a serem empregados</w:t>
            </w:r>
            <w:r w:rsidR="0092431C">
              <w:rPr>
                <w:rFonts w:ascii="Garamond" w:hAnsi="Garamond" w:cs="Arial"/>
                <w:bCs/>
                <w:color w:val="002060"/>
              </w:rPr>
              <w:t>¹</w:t>
            </w:r>
          </w:p>
        </w:tc>
        <w:tc>
          <w:tcPr>
            <w:tcW w:w="0" w:type="auto"/>
            <w:vAlign w:val="center"/>
          </w:tcPr>
          <w:p w14:paraId="489107C9" w14:textId="16B7A38D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Origem dos Recursos</w:t>
            </w:r>
          </w:p>
        </w:tc>
        <w:tc>
          <w:tcPr>
            <w:tcW w:w="0" w:type="auto"/>
            <w:vAlign w:val="center"/>
          </w:tcPr>
          <w:p w14:paraId="7EE484C1" w14:textId="0432AE51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Recursos empregados</w:t>
            </w:r>
          </w:p>
        </w:tc>
        <w:tc>
          <w:tcPr>
            <w:tcW w:w="0" w:type="auto"/>
            <w:vAlign w:val="center"/>
          </w:tcPr>
          <w:p w14:paraId="53D0A127" w14:textId="13F2370F" w:rsidR="00E551B3" w:rsidRPr="0073550B" w:rsidRDefault="00E551B3" w:rsidP="00A53FFD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Resultado Alcançado</w:t>
            </w:r>
          </w:p>
        </w:tc>
      </w:tr>
      <w:tr w:rsidR="0073550B" w:rsidRPr="0073550B" w14:paraId="6425ABE7" w14:textId="05C343D7" w:rsidTr="0047725D">
        <w:tc>
          <w:tcPr>
            <w:tcW w:w="0" w:type="auto"/>
            <w:vAlign w:val="center"/>
          </w:tcPr>
          <w:p w14:paraId="5ED03931" w14:textId="208A8B98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Gestão do FGIE</w:t>
            </w:r>
          </w:p>
        </w:tc>
        <w:tc>
          <w:tcPr>
            <w:tcW w:w="0" w:type="auto"/>
            <w:vAlign w:val="center"/>
          </w:tcPr>
          <w:p w14:paraId="752EED3B" w14:textId="3B390727" w:rsidR="00E551B3" w:rsidRPr="0073550B" w:rsidRDefault="0092431C" w:rsidP="0092431C">
            <w:pPr>
              <w:rPr>
                <w:rFonts w:ascii="Garamond" w:hAnsi="Garamond" w:cs="Arial"/>
                <w:bCs/>
                <w:color w:val="002060"/>
              </w:rPr>
            </w:pPr>
            <w:r>
              <w:rPr>
                <w:rFonts w:ascii="Garamond" w:hAnsi="Garamond" w:cs="Arial"/>
                <w:bCs/>
                <w:color w:val="002060"/>
              </w:rPr>
              <w:t>R$ 1.056.651</w:t>
            </w:r>
          </w:p>
        </w:tc>
        <w:tc>
          <w:tcPr>
            <w:tcW w:w="0" w:type="auto"/>
            <w:vAlign w:val="center"/>
          </w:tcPr>
          <w:p w14:paraId="244FE7DF" w14:textId="620C88A1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FGIE</w:t>
            </w:r>
          </w:p>
        </w:tc>
        <w:tc>
          <w:tcPr>
            <w:tcW w:w="0" w:type="auto"/>
            <w:vAlign w:val="center"/>
          </w:tcPr>
          <w:p w14:paraId="287F1E2B" w14:textId="47BBF92C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R$ 1.642.132</w:t>
            </w:r>
          </w:p>
        </w:tc>
        <w:tc>
          <w:tcPr>
            <w:tcW w:w="0" w:type="auto"/>
            <w:vAlign w:val="center"/>
          </w:tcPr>
          <w:p w14:paraId="2F0E4D72" w14:textId="4EEA6A9E" w:rsidR="00E551B3" w:rsidRPr="0073550B" w:rsidRDefault="007449A0" w:rsidP="007449A0">
            <w:pPr>
              <w:jc w:val="both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 xml:space="preserve">Gestão de garantias no valor de R$ 6,2 milhões, garantindo contratos na ordem de R$ 115,5 milhões. </w:t>
            </w:r>
            <w:r w:rsidR="0092431C">
              <w:rPr>
                <w:rFonts w:ascii="Garamond" w:hAnsi="Garamond" w:cs="Arial"/>
                <w:bCs/>
                <w:color w:val="002060"/>
              </w:rPr>
              <w:t xml:space="preserve">As aplicações e investimentos dos recursos do Fundo, geraram, ainda, receita financeira no total de R$ 77,6 milhões no exercício. </w:t>
            </w:r>
          </w:p>
        </w:tc>
      </w:tr>
      <w:tr w:rsidR="0073550B" w:rsidRPr="0073550B" w14:paraId="3BF6AC19" w14:textId="52BDED0C" w:rsidTr="0047725D">
        <w:tc>
          <w:tcPr>
            <w:tcW w:w="0" w:type="auto"/>
            <w:vAlign w:val="center"/>
          </w:tcPr>
          <w:p w14:paraId="1440B016" w14:textId="76686367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Gestão do FESR</w:t>
            </w:r>
          </w:p>
        </w:tc>
        <w:tc>
          <w:tcPr>
            <w:tcW w:w="0" w:type="auto"/>
            <w:vAlign w:val="center"/>
          </w:tcPr>
          <w:p w14:paraId="10AFF671" w14:textId="3E68DCA1" w:rsidR="0073550B" w:rsidRPr="0073550B" w:rsidRDefault="0073550B" w:rsidP="00FD414D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>
              <w:rPr>
                <w:rFonts w:ascii="Garamond" w:hAnsi="Garamond" w:cs="Arial"/>
                <w:bCs/>
                <w:color w:val="002060"/>
              </w:rPr>
              <w:t>R$ 5.237.000</w:t>
            </w:r>
          </w:p>
        </w:tc>
        <w:tc>
          <w:tcPr>
            <w:tcW w:w="0" w:type="auto"/>
            <w:vAlign w:val="center"/>
          </w:tcPr>
          <w:p w14:paraId="498DF43D" w14:textId="5E40EB8A" w:rsidR="00E551B3" w:rsidRPr="0073550B" w:rsidRDefault="0073550B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Conta Única da União – FESR</w:t>
            </w:r>
          </w:p>
        </w:tc>
        <w:tc>
          <w:tcPr>
            <w:tcW w:w="0" w:type="auto"/>
            <w:vAlign w:val="center"/>
          </w:tcPr>
          <w:p w14:paraId="65DFA1EC" w14:textId="3ADEE95F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R$ 5.521.832</w:t>
            </w:r>
            <w:r w:rsidR="0092431C">
              <w:rPr>
                <w:rFonts w:ascii="Garamond" w:hAnsi="Garamond" w:cs="Arial"/>
                <w:bCs/>
                <w:color w:val="002060"/>
              </w:rPr>
              <w:t>²</w:t>
            </w:r>
          </w:p>
        </w:tc>
        <w:tc>
          <w:tcPr>
            <w:tcW w:w="0" w:type="auto"/>
            <w:vAlign w:val="center"/>
          </w:tcPr>
          <w:p w14:paraId="5B3BCF02" w14:textId="0BF2045D" w:rsidR="00E551B3" w:rsidRPr="0073550B" w:rsidRDefault="004B727F" w:rsidP="004B727F">
            <w:pPr>
              <w:jc w:val="both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as contribuições recebidas das seguradoras e resseguradoras locais foram de R$ 281,3 milhões e os pagamentos de indenizações às seguradoras/ resseguradoras alcançaram o valor de R$ 22,78 milhões. Sendo assim, houve um superávit de R$ 258,5 milhões nas garantias relacionadas à cobertura suplementar dos riscos da atividade rural.</w:t>
            </w:r>
          </w:p>
        </w:tc>
      </w:tr>
      <w:tr w:rsidR="0073550B" w:rsidRPr="0073550B" w14:paraId="41B7CF16" w14:textId="20815DEA" w:rsidTr="0047725D">
        <w:tc>
          <w:tcPr>
            <w:tcW w:w="0" w:type="auto"/>
            <w:vAlign w:val="center"/>
          </w:tcPr>
          <w:p w14:paraId="01351A2C" w14:textId="38D0D171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Prestação de Serviços SCE</w:t>
            </w:r>
          </w:p>
        </w:tc>
        <w:tc>
          <w:tcPr>
            <w:tcW w:w="0" w:type="auto"/>
            <w:vAlign w:val="center"/>
          </w:tcPr>
          <w:p w14:paraId="6D39AA5A" w14:textId="1209033F" w:rsidR="0073550B" w:rsidRPr="0073550B" w:rsidRDefault="0073550B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>
              <w:rPr>
                <w:rFonts w:ascii="Garamond" w:hAnsi="Garamond" w:cs="Arial"/>
                <w:bCs/>
                <w:color w:val="002060"/>
              </w:rPr>
              <w:t xml:space="preserve">R$ </w:t>
            </w:r>
            <w:r w:rsidR="0092431C">
              <w:rPr>
                <w:rFonts w:ascii="Garamond" w:hAnsi="Garamond" w:cs="Arial"/>
                <w:bCs/>
                <w:color w:val="002060"/>
              </w:rPr>
              <w:t>14.551.660</w:t>
            </w:r>
          </w:p>
        </w:tc>
        <w:tc>
          <w:tcPr>
            <w:tcW w:w="0" w:type="auto"/>
            <w:vAlign w:val="center"/>
          </w:tcPr>
          <w:p w14:paraId="58492A84" w14:textId="5454C913" w:rsidR="00E551B3" w:rsidRPr="0073550B" w:rsidRDefault="0073550B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Conta Única da União – FGE</w:t>
            </w:r>
          </w:p>
        </w:tc>
        <w:tc>
          <w:tcPr>
            <w:tcW w:w="0" w:type="auto"/>
            <w:vAlign w:val="center"/>
          </w:tcPr>
          <w:p w14:paraId="09F0FE05" w14:textId="4BB2B46C" w:rsidR="00E551B3" w:rsidRPr="0073550B" w:rsidRDefault="00E551B3" w:rsidP="00E551B3">
            <w:pPr>
              <w:jc w:val="center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>R$ 13.442.456</w:t>
            </w:r>
          </w:p>
        </w:tc>
        <w:tc>
          <w:tcPr>
            <w:tcW w:w="0" w:type="auto"/>
            <w:vAlign w:val="center"/>
          </w:tcPr>
          <w:p w14:paraId="1DFC99D9" w14:textId="0E279AF4" w:rsidR="00E551B3" w:rsidRPr="0073550B" w:rsidRDefault="006472BB" w:rsidP="006472BB">
            <w:pPr>
              <w:jc w:val="both"/>
              <w:rPr>
                <w:rFonts w:ascii="Garamond" w:hAnsi="Garamond" w:cs="Arial"/>
                <w:bCs/>
                <w:color w:val="002060"/>
              </w:rPr>
            </w:pPr>
            <w:r w:rsidRPr="0073550B">
              <w:rPr>
                <w:rFonts w:ascii="Garamond" w:hAnsi="Garamond" w:cs="Arial"/>
                <w:bCs/>
                <w:color w:val="002060"/>
              </w:rPr>
              <w:t xml:space="preserve">Prestação de serviços seguro de crédito à exportação que envolveram a análise e deliberação, no ano de 2022, de operações que totalizam US$ 815.082.155, que ao serem concretizadas impactam diretamente na balança comercial brasileira. </w:t>
            </w:r>
          </w:p>
        </w:tc>
      </w:tr>
    </w:tbl>
    <w:p w14:paraId="44D9C9E0" w14:textId="14ABA759" w:rsidR="00E551B3" w:rsidRDefault="0092431C" w:rsidP="0092431C">
      <w:pPr>
        <w:spacing w:line="240" w:lineRule="auto"/>
        <w:jc w:val="both"/>
        <w:rPr>
          <w:rFonts w:ascii="Garamond" w:hAnsi="Garamond" w:cs="Arial"/>
          <w:bCs/>
          <w:color w:val="002060"/>
          <w:sz w:val="24"/>
          <w:szCs w:val="24"/>
        </w:rPr>
      </w:pPr>
      <w:r>
        <w:rPr>
          <w:rFonts w:ascii="Garamond" w:hAnsi="Garamond" w:cs="Arial"/>
          <w:bCs/>
          <w:color w:val="002060"/>
          <w:sz w:val="24"/>
          <w:szCs w:val="24"/>
        </w:rPr>
        <w:t xml:space="preserve">¹ Receitas orçadas pela ABGF, que compuseram o PDG 2022, bem como a sua reprogramação. </w:t>
      </w:r>
    </w:p>
    <w:p w14:paraId="183FBFE6" w14:textId="79357232" w:rsidR="0092431C" w:rsidRPr="00745B8D" w:rsidRDefault="0092431C" w:rsidP="0092431C">
      <w:pPr>
        <w:spacing w:line="240" w:lineRule="auto"/>
        <w:jc w:val="both"/>
        <w:rPr>
          <w:rFonts w:ascii="Garamond" w:hAnsi="Garamond" w:cs="Arial"/>
          <w:bCs/>
          <w:color w:val="002060"/>
          <w:sz w:val="24"/>
          <w:szCs w:val="24"/>
        </w:rPr>
      </w:pPr>
      <w:r>
        <w:rPr>
          <w:rFonts w:ascii="Garamond" w:hAnsi="Garamond" w:cs="Arial"/>
          <w:bCs/>
          <w:color w:val="002060"/>
          <w:sz w:val="24"/>
          <w:szCs w:val="24"/>
        </w:rPr>
        <w:t xml:space="preserve">² A remuneração da ABGF é calculada com base nos prêmios dos 3 últimos anos. Em 2022 houve a superação dos prêmios orçados, gerando a diferença a maior de receita do que foi orçado. </w:t>
      </w:r>
    </w:p>
    <w:p w14:paraId="11AD2647" w14:textId="1D5673A5" w:rsidR="00537D04" w:rsidRPr="00FE57FC" w:rsidRDefault="00537D04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92431C">
        <w:rPr>
          <w:rFonts w:ascii="Garamond" w:hAnsi="Garamond" w:cs="Arial"/>
          <w:b/>
          <w:color w:val="002060"/>
          <w:sz w:val="24"/>
          <w:szCs w:val="24"/>
        </w:rPr>
        <w:t>6. COMENTÁRIOS DOS ADMINISTRADORES</w:t>
      </w:r>
    </w:p>
    <w:p w14:paraId="3AA22C16" w14:textId="6CE598D9" w:rsidR="00537D04" w:rsidRPr="00FE57FC" w:rsidRDefault="00537D04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qualificação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da ABGF no Programa Nacional de Desestatização não alterou o compromisso da Empresa em manter a sua sustentabilidade econômico-financeira, de forma a contribuir para a execução e políticas públicas, com foco na governança e a integridade, pilares fundamentais para alcance dos objetivos estratégicos da Empresa na geração de valor público à sociedade. Para tanto, atua com transparência e estratégia, buscando o alinhamento e integração com os órgãos do governo brasileiro que desenvolvem políticas públicas </w:t>
      </w:r>
      <w:r w:rsidR="003A551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em sua 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área de atuação. </w:t>
      </w:r>
    </w:p>
    <w:p w14:paraId="7A822DF7" w14:textId="77777777" w:rsidR="00537D04" w:rsidRPr="00FE57FC" w:rsidRDefault="00537D04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Alta Administração da ABGF está alinhada com as diretrizes fixadas pelo Ministério da Economia e imbuída em cumprir as orientações do Governo Federal com o objetivo de atender as demandas para concretização do processo de desestatização </w:t>
      </w:r>
      <w:r w:rsidRPr="00AA41C3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nos prazos a serem definidos.</w:t>
      </w:r>
    </w:p>
    <w:p w14:paraId="6F2A6519" w14:textId="6AD7D731" w:rsidR="00537D04" w:rsidRPr="00FE57FC" w:rsidRDefault="00537D04" w:rsidP="00AD5BC0">
      <w:pPr>
        <w:tabs>
          <w:tab w:val="left" w:pos="1902"/>
        </w:tabs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Em dezembro de 202</w:t>
      </w:r>
      <w:r w:rsidR="0073550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2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, foi realizada a revisão do Planejamento Estratégico ciclo 202</w:t>
      </w:r>
      <w:r w:rsidR="0073550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3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-202</w:t>
      </w:r>
      <w:r w:rsidR="0073550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7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</w:t>
      </w:r>
      <w:r w:rsidR="006A50A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com a finalidade 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de melhor caracterizar o seu propósito e orientação de atuação, devendo 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lastRenderedPageBreak/>
        <w:t>retratar o papel social da ABGF na condução de suas linhas de negócios, bem como a sua contribuição para execução das políticas públicas a elas associadas.</w:t>
      </w:r>
    </w:p>
    <w:p w14:paraId="48756066" w14:textId="77777777" w:rsidR="00537D04" w:rsidRPr="00FE57FC" w:rsidRDefault="00537D04" w:rsidP="00AD5BC0">
      <w:pPr>
        <w:tabs>
          <w:tab w:val="left" w:pos="1902"/>
        </w:tabs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As diretrizes estratégicas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mantidas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direcionando 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os rumos para atuação da ABGF como empresa pública que exerce seu papel com eficiência e efetividade, sendo definidas por:</w:t>
      </w:r>
    </w:p>
    <w:p w14:paraId="5A000DAF" w14:textId="77777777" w:rsidR="00537D04" w:rsidRPr="00FE57FC" w:rsidRDefault="00537D04" w:rsidP="00AD5BC0">
      <w:pPr>
        <w:pStyle w:val="PargrafodaLista"/>
        <w:numPr>
          <w:ilvl w:val="0"/>
          <w:numId w:val="7"/>
        </w:numPr>
        <w:tabs>
          <w:tab w:val="left" w:pos="1902"/>
        </w:tabs>
        <w:contextualSpacing w:val="0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Assegurar a sustentabilidade econômico</w:t>
      </w:r>
      <w:r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-</w:t>
      </w: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financeira;</w:t>
      </w:r>
    </w:p>
    <w:p w14:paraId="4F19CA3D" w14:textId="77777777" w:rsidR="00537D04" w:rsidRPr="00FE57FC" w:rsidRDefault="00537D04" w:rsidP="00AD5BC0">
      <w:pPr>
        <w:pStyle w:val="PargrafodaLista"/>
        <w:numPr>
          <w:ilvl w:val="0"/>
          <w:numId w:val="7"/>
        </w:numPr>
        <w:tabs>
          <w:tab w:val="left" w:pos="1902"/>
        </w:tabs>
        <w:contextualSpacing w:val="0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Assegurar a efetividade nos Sistemas de Controles Internos; e</w:t>
      </w:r>
    </w:p>
    <w:p w14:paraId="2B7073EF" w14:textId="77777777" w:rsidR="00537D04" w:rsidRPr="00FE57FC" w:rsidRDefault="00537D04" w:rsidP="00AD5BC0">
      <w:pPr>
        <w:pStyle w:val="PargrafodaLista"/>
        <w:numPr>
          <w:ilvl w:val="0"/>
          <w:numId w:val="7"/>
        </w:numPr>
        <w:tabs>
          <w:tab w:val="left" w:pos="1902"/>
        </w:tabs>
        <w:contextualSpacing w:val="0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FE57FC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Garantir a continuidade e qualidade na execução dos serviços prestados à União.</w:t>
      </w:r>
    </w:p>
    <w:p w14:paraId="0CB833F0" w14:textId="41AB1CDE" w:rsidR="00537D04" w:rsidRDefault="005A78FB" w:rsidP="00AD5BC0">
      <w:pPr>
        <w:tabs>
          <w:tab w:val="left" w:pos="1902"/>
        </w:tabs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>
        <w:rPr>
          <w:rFonts w:ascii="Garamond" w:eastAsia="Klavika-Bold" w:hAnsi="Garamond" w:cs="Arial"/>
          <w:bCs/>
          <w:color w:val="002060"/>
          <w:sz w:val="24"/>
          <w:szCs w:val="24"/>
        </w:rPr>
        <w:t>Neste aspecto, f</w:t>
      </w:r>
      <w:r w:rsidRPr="005A78FB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oi inserida </w:t>
      </w:r>
      <w:r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na 3ª </w:t>
      </w:r>
      <w:r w:rsidRPr="005A78FB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diretriz um objetivo estratégico voltado para a modernização do Parque Tecnológico da ABGF que estará totalmente depreciado no ano de 2023. Destaca-se que, devido a impossibilidade de investimentos periódicos em TI, dado o cenário de indefinição sobre a modalidade de desestatização da ABGF, observa-se que vários equipamentos (servidores, computadores, </w:t>
      </w:r>
      <w:proofErr w:type="spellStart"/>
      <w:r w:rsidRPr="005A78FB">
        <w:rPr>
          <w:rFonts w:ascii="Garamond" w:eastAsia="Klavika-Bold" w:hAnsi="Garamond" w:cs="Arial"/>
          <w:bCs/>
          <w:color w:val="002060"/>
          <w:sz w:val="24"/>
          <w:szCs w:val="24"/>
        </w:rPr>
        <w:t>etc</w:t>
      </w:r>
      <w:proofErr w:type="spellEnd"/>
      <w:r w:rsidRPr="005A78FB">
        <w:rPr>
          <w:rFonts w:ascii="Garamond" w:eastAsia="Klavika-Bold" w:hAnsi="Garamond" w:cs="Arial"/>
          <w:bCs/>
          <w:color w:val="002060"/>
          <w:sz w:val="24"/>
          <w:szCs w:val="24"/>
        </w:rPr>
        <w:t>) começaram a apresentar sinais de fadiga, não possuindo mais garantia e/ou a existência de peças de reposição no mercado, de forma que o risco de paralisação dos serviços da Empresa tende a aumentar consideravelmente.</w:t>
      </w:r>
    </w:p>
    <w:p w14:paraId="174B9243" w14:textId="77777777" w:rsidR="005A78FB" w:rsidRDefault="005A78FB" w:rsidP="00AD5BC0">
      <w:pPr>
        <w:jc w:val="center"/>
        <w:rPr>
          <w:rFonts w:ascii="Garamond" w:hAnsi="Garamond" w:cs="Arial"/>
          <w:b/>
          <w:color w:val="002060"/>
          <w:sz w:val="24"/>
          <w:szCs w:val="24"/>
        </w:rPr>
      </w:pPr>
    </w:p>
    <w:p w14:paraId="2FB54272" w14:textId="4936CFC2" w:rsidR="00537D04" w:rsidRPr="005A78FB" w:rsidRDefault="00537D04" w:rsidP="00AD5BC0">
      <w:pPr>
        <w:jc w:val="center"/>
        <w:rPr>
          <w:rFonts w:ascii="Garamond" w:hAnsi="Garamond" w:cs="Arial"/>
          <w:b/>
          <w:color w:val="002060"/>
          <w:sz w:val="32"/>
          <w:szCs w:val="32"/>
        </w:rPr>
      </w:pPr>
      <w:r w:rsidRPr="005A78FB">
        <w:rPr>
          <w:rFonts w:ascii="Garamond" w:hAnsi="Garamond" w:cs="Arial"/>
          <w:b/>
          <w:color w:val="002060"/>
          <w:sz w:val="32"/>
          <w:szCs w:val="32"/>
        </w:rPr>
        <w:t>GOVERNANÇA CORPORATIVA</w:t>
      </w:r>
    </w:p>
    <w:p w14:paraId="56CD20E3" w14:textId="77777777" w:rsidR="005A78FB" w:rsidRPr="00FE57FC" w:rsidRDefault="005A78FB" w:rsidP="00AD5BC0">
      <w:pPr>
        <w:jc w:val="center"/>
        <w:rPr>
          <w:rFonts w:ascii="Garamond" w:hAnsi="Garamond" w:cs="Arial"/>
          <w:b/>
          <w:color w:val="002060"/>
          <w:sz w:val="24"/>
          <w:szCs w:val="24"/>
        </w:rPr>
      </w:pPr>
    </w:p>
    <w:p w14:paraId="550C318C" w14:textId="77777777" w:rsidR="00537D04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537D04">
        <w:rPr>
          <w:rFonts w:ascii="Garamond" w:eastAsia="Klavika-Bold" w:hAnsi="Garamond" w:cs="Arial"/>
          <w:b/>
          <w:color w:val="002060"/>
          <w:sz w:val="24"/>
          <w:szCs w:val="24"/>
        </w:rPr>
        <w:t>1. ATIVIDADES DESENVOLVIDAS</w:t>
      </w:r>
      <w:r w:rsidRPr="00537D04">
        <w:rPr>
          <w:rFonts w:ascii="Garamond" w:hAnsi="Garamond" w:cs="Arial"/>
          <w:color w:val="002060"/>
          <w:sz w:val="24"/>
          <w:szCs w:val="24"/>
        </w:rPr>
        <w:t xml:space="preserve"> </w:t>
      </w:r>
    </w:p>
    <w:p w14:paraId="62AD1906" w14:textId="34B669F8" w:rsidR="00537D04" w:rsidRPr="00FE57FC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 xml:space="preserve">A ABGF, no cumprimento de seu objeto, administra o Fundo Garantidor de Infraestrutura (FGIE), efetua a gestão do Fundo de Estabilidade do Seguro Rural (FESR) e presta serviços para a Secretaria Executiva da Câmara de Comércio Exterior do Ministério da Economia (SE-CAMEX/ME) para a execução os serviços relacionados ao Seguro de Crédito às Exportações (SCE) ao amparo do Fundo Garantidor de Exportação (FGE). A Empresa constituiu, ainda, o Fundo de Indenizações do Seguro de Embarcações (FUNDPEM), que não se encontra operacional. </w:t>
      </w:r>
    </w:p>
    <w:p w14:paraId="25A5E834" w14:textId="7A350B23" w:rsidR="00537D04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>Considerando o direcionamento estratégico da ABGF, o Conselho de Administração, em cumprimento às diretrizes emanadas pela União, por meio do Ministério Supervisor, orientará a destinação das linhas de negócio quanto a sua gestão</w:t>
      </w:r>
      <w:r w:rsidR="001324A1">
        <w:rPr>
          <w:rFonts w:ascii="Garamond" w:hAnsi="Garamond" w:cs="Arial"/>
          <w:color w:val="002060"/>
          <w:sz w:val="24"/>
          <w:szCs w:val="24"/>
        </w:rPr>
        <w:t>.</w:t>
      </w:r>
    </w:p>
    <w:p w14:paraId="68C9D161" w14:textId="15673DB1" w:rsidR="00537D04" w:rsidRDefault="00537D04" w:rsidP="00AD5BC0">
      <w:pPr>
        <w:pStyle w:val="Ttulo3"/>
        <w:spacing w:before="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>1</w:t>
      </w:r>
      <w:r w:rsidRPr="00FE57FC">
        <w:rPr>
          <w:rFonts w:ascii="Garamond" w:hAnsi="Garamond"/>
          <w:color w:val="002060"/>
        </w:rPr>
        <w:t>.1 FUNDO GARANTIDOR DE INFRAESTRUTURA – FGIE</w:t>
      </w:r>
    </w:p>
    <w:p w14:paraId="217262D0" w14:textId="1EDACAB7" w:rsidR="00537D04" w:rsidRPr="00F46A27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46A27">
        <w:rPr>
          <w:rFonts w:ascii="Garamond" w:hAnsi="Garamond" w:cs="Arial"/>
          <w:color w:val="002060"/>
          <w:sz w:val="24"/>
          <w:szCs w:val="24"/>
        </w:rPr>
        <w:t xml:space="preserve">O FGIE é um fundo de natureza privada, tem patrimônio próprio separado do patrimônio dos cotistas e da Administradora, estando sujeito </w:t>
      </w:r>
      <w:r w:rsidR="006A50A6">
        <w:rPr>
          <w:rFonts w:ascii="Garamond" w:hAnsi="Garamond" w:cs="Arial"/>
          <w:color w:val="002060"/>
          <w:sz w:val="24"/>
          <w:szCs w:val="24"/>
        </w:rPr>
        <w:t>a</w:t>
      </w:r>
      <w:r w:rsidRPr="00F46A27">
        <w:rPr>
          <w:rFonts w:ascii="Garamond" w:hAnsi="Garamond" w:cs="Arial"/>
          <w:color w:val="002060"/>
          <w:sz w:val="24"/>
          <w:szCs w:val="24"/>
        </w:rPr>
        <w:t xml:space="preserve"> direitos e obrigações próprias, não contando com qualquer tipo de garantia ou aval por parte do poder público, bem como responde por suas obrigações até o limite dos bens e direitos integrantes do seu patrimônio.</w:t>
      </w:r>
    </w:p>
    <w:p w14:paraId="3C45809B" w14:textId="77777777" w:rsidR="00537D04" w:rsidRPr="00F46A27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46A27">
        <w:rPr>
          <w:rFonts w:ascii="Garamond" w:hAnsi="Garamond" w:cs="Arial"/>
          <w:color w:val="002060"/>
          <w:sz w:val="24"/>
          <w:szCs w:val="24"/>
        </w:rPr>
        <w:t xml:space="preserve">O Fundo foi constituído em 28 de novembro de 2014 pela ABGF, em conformidade com o art. 33 da Lei nº 12.712, de 30 de agosto de 2012, e tem por finalidade garantir, direta ou indiretamente, quaisquer riscos relacionados às operações de que trata o §7º, do mencionado </w:t>
      </w:r>
      <w:r w:rsidRPr="00F46A27">
        <w:rPr>
          <w:rFonts w:ascii="Garamond" w:hAnsi="Garamond" w:cs="Arial"/>
          <w:color w:val="002060"/>
          <w:sz w:val="24"/>
          <w:szCs w:val="24"/>
        </w:rPr>
        <w:lastRenderedPageBreak/>
        <w:t>artigo, inclusive não gerenciáveis relacionados a concessões, observadas as condições e formas previstas no Estatuto do Fundo.</w:t>
      </w:r>
    </w:p>
    <w:p w14:paraId="5163993E" w14:textId="77777777" w:rsidR="00537D04" w:rsidRPr="00F46A27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46A27">
        <w:rPr>
          <w:rFonts w:ascii="Garamond" w:hAnsi="Garamond" w:cs="Arial"/>
          <w:color w:val="002060"/>
          <w:sz w:val="24"/>
          <w:szCs w:val="24"/>
        </w:rPr>
        <w:t>Encontra-se vigente a garantia prestada pelo FGIE, com previsão de conclusão em 2044, à Parceria Pública Privada firmada pelo município de Salto, no Estado de São Paulo e a Empresa CSO Ambiental de Salto SPE S/A, para prestação de serviços de coleta e tratamento de resíduos sólidos. O limite de cobertura, observadas as condições da garantia, é de R$ 6.179.615,40 (seis milhões, cento e setenta e nove mil, seiscentos e quinze reais e quarenta centavos). Durante o ano de 2021, a ABGF realizou o acompanhamento da garantia certificando-se que os aportes de responsabilidade do parceiro público foram realizados.</w:t>
      </w:r>
    </w:p>
    <w:p w14:paraId="74FABEAE" w14:textId="77777777" w:rsidR="00537D04" w:rsidRPr="00F46A27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46A27">
        <w:rPr>
          <w:rFonts w:ascii="Garamond" w:hAnsi="Garamond" w:cs="Arial"/>
          <w:color w:val="002060"/>
          <w:sz w:val="24"/>
          <w:szCs w:val="24"/>
        </w:rPr>
        <w:t xml:space="preserve">Cabe destacar que em 19.05.2021 foi publicada a Medida Provisória nº 1.052/2021, convertida na Lei nº 14.227/2021, que autoriza a União a criar um fundo para financiar a estruturação e o desenvolvimento de projetos de concessão e parcerias público privadas (PPPs), a serem realizados pela União, Estados e Municípios. Essa lei, que altera o Artigo 32-A da Lei nº 12.712/2012, cujo enunciado dispõe que o novo Fundo será administrado e representado judicial e extrajudicialmente por instituição financeira selecionada por meio de chamada pública. Também ficou estabelecido que o novo Fundo seja criado a partir da reestruturação do Fundo Garantidor de Infraestrutura (FGIE), funcionando sob o regime de cotas, coordenado pelo Ministério do Desenvolvimento Regional (MDR). </w:t>
      </w:r>
    </w:p>
    <w:p w14:paraId="52720D46" w14:textId="77777777" w:rsidR="00537D04" w:rsidRPr="00F46A27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46A27">
        <w:rPr>
          <w:rFonts w:ascii="Garamond" w:hAnsi="Garamond" w:cs="Arial"/>
          <w:color w:val="002060"/>
          <w:sz w:val="24"/>
          <w:szCs w:val="24"/>
        </w:rPr>
        <w:t>Em 30 de dezembro de 2021 foi publicado o Decreto 10.918, de 29.12.2021, que dispõe sobre o Fundo de Desenvolvimento da Infraestrutura Regional Sustentável - FDIRS, de que trata o art. 32 da Lei nº 12.712/2012. De acordo com o parágrafo primeiro do Art. 11 do referido Decreto “A Agência Brasileira Gestora de Fundos Garantidores e Garantias exercerá a administração do Fundo Garantidor de Infraestrutura enquanto não for efetuada a adequação do estatuto de que trata o caput e a contratação da instituição financeira administradora selecionada nos termos do disposto no art. 9º. Pelo disposto no parágrafo segundo desse mesmo artigo, “O disposto no § 1º não autoriza a Agência Brasileira Gestora de Fundos Garantidores e Garantias a contratar novas operações do Fundo Garantidor de Infraestrutura além daquelas em curso em 19 de maio de 2021”.</w:t>
      </w:r>
    </w:p>
    <w:p w14:paraId="7A3CC219" w14:textId="63EAACC6" w:rsidR="001324A1" w:rsidRDefault="001324A1" w:rsidP="00AD5BC0">
      <w:pPr>
        <w:autoSpaceDE w:val="0"/>
        <w:autoSpaceDN w:val="0"/>
        <w:adjustRightInd w:val="0"/>
        <w:jc w:val="both"/>
        <w:rPr>
          <w:rFonts w:ascii="Garamond" w:hAnsi="Garamond" w:cs="Arial"/>
          <w:color w:val="002060"/>
          <w:sz w:val="24"/>
          <w:szCs w:val="24"/>
        </w:rPr>
      </w:pPr>
      <w:r w:rsidRPr="001324A1">
        <w:rPr>
          <w:rFonts w:ascii="Garamond" w:hAnsi="Garamond" w:cs="Arial"/>
          <w:color w:val="002060"/>
          <w:sz w:val="24"/>
          <w:szCs w:val="24"/>
        </w:rPr>
        <w:t>Em 2022, em razão do disposto no Decreto nº 10.918, de 29.12.2021, acima citado,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24A1">
        <w:rPr>
          <w:rFonts w:ascii="Garamond" w:hAnsi="Garamond" w:cs="Arial"/>
          <w:color w:val="002060"/>
          <w:sz w:val="24"/>
          <w:szCs w:val="24"/>
        </w:rPr>
        <w:t>não foram analisados novos projetos de infraestrutura para garantia do FGIE.</w:t>
      </w:r>
    </w:p>
    <w:p w14:paraId="0FAB850C" w14:textId="40C86C2C" w:rsidR="001324A1" w:rsidRPr="001324A1" w:rsidRDefault="001324A1" w:rsidP="00AD5BC0">
      <w:pPr>
        <w:autoSpaceDE w:val="0"/>
        <w:autoSpaceDN w:val="0"/>
        <w:adjustRightInd w:val="0"/>
        <w:jc w:val="both"/>
        <w:rPr>
          <w:rFonts w:ascii="Garamond" w:hAnsi="Garamond"/>
          <w:color w:val="002060"/>
        </w:rPr>
      </w:pPr>
      <w:r w:rsidRPr="001324A1">
        <w:rPr>
          <w:rFonts w:ascii="Garamond" w:hAnsi="Garamond" w:cs="Arial"/>
          <w:color w:val="002060"/>
          <w:sz w:val="24"/>
          <w:szCs w:val="24"/>
        </w:rPr>
        <w:t>Em 31 de dezembro de 2022, o Patrimônio Líquido do FGIE era da ordem de R$ 863,9 milhões.</w:t>
      </w:r>
    </w:p>
    <w:p w14:paraId="0DB7A0B0" w14:textId="713815DC" w:rsidR="00537D04" w:rsidRPr="00FE57FC" w:rsidRDefault="00537D04" w:rsidP="00AD5BC0">
      <w:pPr>
        <w:pStyle w:val="Ttulo3"/>
        <w:spacing w:before="0"/>
        <w:rPr>
          <w:rFonts w:ascii="Garamond" w:hAnsi="Garamond"/>
          <w:color w:val="002060"/>
        </w:rPr>
      </w:pPr>
      <w:r>
        <w:rPr>
          <w:rFonts w:ascii="Garamond" w:hAnsi="Garamond"/>
          <w:color w:val="002060"/>
        </w:rPr>
        <w:t>1</w:t>
      </w:r>
      <w:r w:rsidRPr="00FE57FC">
        <w:rPr>
          <w:rFonts w:ascii="Garamond" w:hAnsi="Garamond"/>
          <w:color w:val="002060"/>
        </w:rPr>
        <w:t>.2 SEGURO DE CRÉDITO À EXPORTAÇÃO – SCE</w:t>
      </w:r>
    </w:p>
    <w:p w14:paraId="589C33B6" w14:textId="0D4BBADA" w:rsidR="00537D04" w:rsidRPr="00FE57FC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>A ABGF presta serviços para a Secretaria Executiva da Câmara de Comércio Exterior do</w:t>
      </w:r>
      <w:r w:rsidR="001324A1">
        <w:rPr>
          <w:rFonts w:ascii="Garamond" w:hAnsi="Garamond" w:cs="Arial"/>
          <w:color w:val="002060"/>
          <w:sz w:val="24"/>
          <w:szCs w:val="24"/>
        </w:rPr>
        <w:t xml:space="preserve"> então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 Ministério da Economia (SE-CAMEX/ME) </w:t>
      </w:r>
      <w:r w:rsidR="001324A1">
        <w:rPr>
          <w:rFonts w:ascii="Garamond" w:hAnsi="Garamond" w:cs="Arial"/>
          <w:color w:val="002060"/>
          <w:sz w:val="24"/>
          <w:szCs w:val="24"/>
        </w:rPr>
        <w:t>para a</w:t>
      </w:r>
      <w:r w:rsidRPr="00FE57FC">
        <w:rPr>
          <w:rFonts w:ascii="Garamond" w:hAnsi="Garamond" w:cs="Arial"/>
          <w:color w:val="002060"/>
          <w:sz w:val="24"/>
          <w:szCs w:val="24"/>
        </w:rPr>
        <w:t xml:space="preserve"> execução dos serviços de SCE previstos na Lei nº 6.704/1979 e cobertos com recursos do Fundo de Garantia à Exportação (FGE). Os serviços prestados pela ABGF incluem </w:t>
      </w:r>
      <w:r>
        <w:rPr>
          <w:rFonts w:ascii="Garamond" w:hAnsi="Garamond" w:cs="Arial"/>
          <w:color w:val="002060"/>
          <w:sz w:val="24"/>
          <w:szCs w:val="24"/>
        </w:rPr>
        <w:t xml:space="preserve">principalmente a </w:t>
      </w:r>
      <w:r w:rsidRPr="00FE57FC">
        <w:rPr>
          <w:rFonts w:ascii="Garamond" w:hAnsi="Garamond" w:cs="Arial"/>
          <w:color w:val="002060"/>
          <w:sz w:val="24"/>
          <w:szCs w:val="24"/>
        </w:rPr>
        <w:t>análise, acompanhamento, monitoramento, gestão dos riscos e das coberturas de Seguro de Crédito à Exportação ao amparo do FGE.</w:t>
      </w:r>
    </w:p>
    <w:p w14:paraId="7B78BAA9" w14:textId="2D4BF9BD" w:rsidR="00537D04" w:rsidRPr="00367B91" w:rsidRDefault="00537D04" w:rsidP="00AD5BC0">
      <w:pPr>
        <w:tabs>
          <w:tab w:val="left" w:pos="1418"/>
        </w:tabs>
        <w:jc w:val="both"/>
        <w:rPr>
          <w:rFonts w:ascii="Garamond" w:hAnsi="Garamond" w:cs="Arial"/>
          <w:color w:val="002060"/>
          <w:sz w:val="24"/>
          <w:szCs w:val="24"/>
        </w:rPr>
      </w:pPr>
      <w:r w:rsidRPr="00367B91">
        <w:rPr>
          <w:rFonts w:ascii="Garamond" w:hAnsi="Garamond" w:cs="Arial"/>
          <w:color w:val="002060"/>
          <w:sz w:val="24"/>
          <w:szCs w:val="24"/>
        </w:rPr>
        <w:lastRenderedPageBreak/>
        <w:t>A Empresa conduz a gestão de garantias de seguro de crédito à exportação para grandes companhias, em operações com prazo superior a dois anos, denominadas de Médio e Longo Prazo (MLP)</w:t>
      </w:r>
      <w:r w:rsidRPr="0088278D">
        <w:rPr>
          <w:rFonts w:ascii="Garamond" w:hAnsi="Garamond" w:cs="Arial"/>
          <w:color w:val="002060"/>
          <w:sz w:val="24"/>
          <w:szCs w:val="24"/>
        </w:rPr>
        <w:t>.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</w:p>
    <w:p w14:paraId="619DD4A9" w14:textId="0985377F" w:rsidR="00537D04" w:rsidRPr="006B29F8" w:rsidRDefault="00537D04" w:rsidP="00AD5BC0">
      <w:pPr>
        <w:tabs>
          <w:tab w:val="left" w:pos="1418"/>
        </w:tabs>
        <w:jc w:val="both"/>
        <w:rPr>
          <w:rFonts w:ascii="Garamond" w:hAnsi="Garamond" w:cs="Arial"/>
          <w:color w:val="002060"/>
          <w:sz w:val="24"/>
          <w:szCs w:val="24"/>
        </w:rPr>
      </w:pPr>
      <w:r>
        <w:rPr>
          <w:rFonts w:ascii="Garamond" w:hAnsi="Garamond" w:cs="Arial"/>
          <w:color w:val="002060"/>
          <w:sz w:val="24"/>
          <w:szCs w:val="24"/>
        </w:rPr>
        <w:t>Nesse contexto, a</w:t>
      </w:r>
      <w:r w:rsidRPr="006B29F8">
        <w:rPr>
          <w:rFonts w:ascii="Garamond" w:hAnsi="Garamond" w:cs="Arial"/>
          <w:color w:val="002060"/>
          <w:sz w:val="24"/>
          <w:szCs w:val="24"/>
        </w:rPr>
        <w:t xml:space="preserve"> ABGF vem desenvolvendo os trabalhos de aprimoramento do Sistema de Gerenciamento de Sinistros - SGS, elaborado no ano de 2020, que, além de conferir agilidade no processo de regulação de sinistros, mitiga riscos envolvendo cálculo de prazos e valores de indenizações, pois abrange todo o fluxo de regulação de sinistro, desde a Declaração de Ameaça de Sinistro – DAS até sua indenização e sub-rogação, garantindo assim o armazenamento completo das documentações utilizadas no processo. </w:t>
      </w:r>
    </w:p>
    <w:p w14:paraId="4C748A4E" w14:textId="6CD67DEA" w:rsidR="001324A1" w:rsidRDefault="001324A1" w:rsidP="00AD5BC0">
      <w:pPr>
        <w:tabs>
          <w:tab w:val="left" w:pos="1418"/>
        </w:tabs>
        <w:jc w:val="both"/>
        <w:rPr>
          <w:rFonts w:ascii="Garamond" w:hAnsi="Garamond" w:cs="Arial"/>
          <w:color w:val="002060"/>
          <w:sz w:val="24"/>
          <w:szCs w:val="24"/>
        </w:rPr>
      </w:pPr>
      <w:r w:rsidRPr="001324A1">
        <w:rPr>
          <w:rFonts w:ascii="Garamond" w:hAnsi="Garamond" w:cs="Arial"/>
          <w:color w:val="002060"/>
          <w:sz w:val="24"/>
          <w:szCs w:val="24"/>
        </w:rPr>
        <w:t>Nesse contexto, cabe destacar o desenvolvimento e a implantação, no ano de 2022,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24A1">
        <w:rPr>
          <w:rFonts w:ascii="Garamond" w:hAnsi="Garamond" w:cs="Arial"/>
          <w:color w:val="002060"/>
          <w:sz w:val="24"/>
          <w:szCs w:val="24"/>
        </w:rPr>
        <w:t>do módulo atuarial, integrado ao SGS, que automatiza o cálculo das informações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24A1">
        <w:rPr>
          <w:rFonts w:ascii="Garamond" w:hAnsi="Garamond" w:cs="Arial"/>
          <w:color w:val="002060"/>
          <w:sz w:val="24"/>
          <w:szCs w:val="24"/>
        </w:rPr>
        <w:t>contábeis do Fundo de Garantia à Exportação. Desta forma, o gerenciamento destas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1324A1">
        <w:rPr>
          <w:rFonts w:ascii="Garamond" w:hAnsi="Garamond" w:cs="Arial"/>
          <w:color w:val="002060"/>
          <w:sz w:val="24"/>
          <w:szCs w:val="24"/>
        </w:rPr>
        <w:t>informações se torna mais célere e seguro.</w:t>
      </w:r>
    </w:p>
    <w:p w14:paraId="7D502B95" w14:textId="0B54BA1C" w:rsidR="00537D04" w:rsidRPr="001324A1" w:rsidRDefault="00537D04" w:rsidP="00AD5BC0">
      <w:pPr>
        <w:tabs>
          <w:tab w:val="left" w:pos="1418"/>
        </w:tabs>
        <w:jc w:val="both"/>
        <w:rPr>
          <w:rFonts w:ascii="Garamond" w:hAnsi="Garamond"/>
          <w:b/>
          <w:bCs/>
          <w:color w:val="002060"/>
        </w:rPr>
      </w:pPr>
      <w:r w:rsidRPr="001324A1">
        <w:rPr>
          <w:rFonts w:ascii="Garamond" w:hAnsi="Garamond"/>
          <w:b/>
          <w:bCs/>
          <w:color w:val="002060"/>
        </w:rPr>
        <w:t xml:space="preserve">1.3 FUNDO DE ESTABILIDADE DO SEGURO RURAL – FESR </w:t>
      </w:r>
    </w:p>
    <w:p w14:paraId="07A4DBA8" w14:textId="0B7F3E10" w:rsidR="00537D04" w:rsidRPr="00FE57FC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 xml:space="preserve">O FESR, criado por meio do Decreto-Lei nº 73/1966, tem por finalidade manter e garantir o equilíbrio das operações do seguro rural no País, bem como atender à cobertura suplementar dos riscos de catástrofe inerentes às atividades rurais. </w:t>
      </w:r>
    </w:p>
    <w:p w14:paraId="5A8B7E7E" w14:textId="2B7CA343" w:rsidR="00537D04" w:rsidRPr="00FE57FC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 xml:space="preserve">Desde julho de 2015, a ABGF é encarregada da gestão do Fundo de Estabilidade do Seguro Rural até a completa liquidação das obrigações do Fundo, conforme previsto na Lei nº 13.195, de 25.11.2015, que alterou a Lei nº 12.712, de 30.08.2012. </w:t>
      </w:r>
    </w:p>
    <w:p w14:paraId="34808609" w14:textId="77777777" w:rsidR="00537D04" w:rsidRPr="00FE57FC" w:rsidRDefault="00537D04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FE57FC">
        <w:rPr>
          <w:rFonts w:ascii="Garamond" w:hAnsi="Garamond" w:cs="Arial"/>
          <w:color w:val="002060"/>
          <w:sz w:val="24"/>
          <w:szCs w:val="24"/>
        </w:rPr>
        <w:t xml:space="preserve">Em 12 de junho de 2017, foi publicado o Decreto nº 9078, que dispõe sobre a remuneração da ABGF pela gestão do Fundo de Estabilidade do Seguro Rural, resultando em percepção de receita, a partir de 13 de julho de 2017, pela ABGF. </w:t>
      </w:r>
    </w:p>
    <w:p w14:paraId="5C54192E" w14:textId="58A0C6D7" w:rsidR="00AD5BC0" w:rsidRPr="00AD5BC0" w:rsidRDefault="00AD5BC0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AD5BC0">
        <w:rPr>
          <w:rFonts w:ascii="Garamond" w:hAnsi="Garamond" w:cs="Arial"/>
          <w:color w:val="002060"/>
          <w:sz w:val="24"/>
          <w:szCs w:val="24"/>
        </w:rPr>
        <w:t>Por meio da Resolução CNSP nº 404/2021, o Conselho Nacional de Seguros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Privados (CNSP) dispõe sobre o FESR, quanto a sua finalidade e modalidades que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podem ser objeto de cobertura pelo Fundo, a saber: (i) seguro agrícola; (ii) seguro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pecuário; (iii) seguro aquícola; (iv) seguro de florestas e (v) seguro de penhor rural.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O exercício social do FESR, de acordo com a citada Resolução, é de 1º de janeiro até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31 de dezembro do mesmo ano.</w:t>
      </w:r>
    </w:p>
    <w:p w14:paraId="555A837B" w14:textId="66784D55" w:rsidR="00AD5BC0" w:rsidRPr="00AD5BC0" w:rsidRDefault="00AD5BC0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AD5BC0">
        <w:rPr>
          <w:rFonts w:ascii="Garamond" w:hAnsi="Garamond" w:cs="Arial"/>
          <w:color w:val="002060"/>
          <w:sz w:val="24"/>
          <w:szCs w:val="24"/>
        </w:rPr>
        <w:t>No primeiro semestre de 2022 foi realizada a apuração do resultado FESR referente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ao exercício 2021-2021, totalizando R$ 281,3 milhões em contribuições para o Fundo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e R$ 22,78 milhões em indenizações. Já em outubro de 2022, conforme calendário de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gestão do Fundo, foi enviada a todos as empresas participantes a solicitação para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apresentação dos Planos de Operação para o exercício 2023-2023.</w:t>
      </w:r>
    </w:p>
    <w:p w14:paraId="3ABDEB09" w14:textId="4BBE6F9B" w:rsidR="00AD5BC0" w:rsidRPr="00AD5BC0" w:rsidRDefault="00AD5BC0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AD5BC0">
        <w:rPr>
          <w:rFonts w:ascii="Garamond" w:hAnsi="Garamond" w:cs="Arial"/>
          <w:color w:val="002060"/>
          <w:sz w:val="24"/>
          <w:szCs w:val="24"/>
        </w:rPr>
        <w:t>Para aprimorar e modernizar o processo de apuração do resultado do Fundo a cada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exercício e a comunicação entre a ABGF e as seguradoras e resseguradoras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participantes, a ABGF desenvolveu internamente o Sistema de Gestão do FESR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(SGFESR), permitindo o recebimento de documentação dessas empresas, além de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consolidar em ambiente acessível, via internet, os dados dos participantes do Fundo.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O SGFESR é utilizado para realizar todo o procedimento de gestão do Fundo 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 xml:space="preserve">apuração de seus resultados, racionalizando recursos </w:t>
      </w:r>
      <w:r w:rsidRPr="00AD5BC0">
        <w:rPr>
          <w:rFonts w:ascii="Garamond" w:hAnsi="Garamond" w:cs="Arial"/>
          <w:color w:val="002060"/>
          <w:sz w:val="24"/>
          <w:szCs w:val="24"/>
        </w:rPr>
        <w:lastRenderedPageBreak/>
        <w:t>e automatizando processos 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vem sendo continuamente aprimorado para conferir maior celeridade, segurança e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transparência a todas as etapas de apuração do resultado do Fundo.</w:t>
      </w:r>
    </w:p>
    <w:p w14:paraId="4ABB6216" w14:textId="36DCA91A" w:rsidR="00AD5BC0" w:rsidRDefault="00AD5BC0" w:rsidP="00AD5BC0">
      <w:pPr>
        <w:jc w:val="both"/>
        <w:rPr>
          <w:rFonts w:ascii="Garamond" w:hAnsi="Garamond" w:cs="Arial"/>
          <w:color w:val="002060"/>
          <w:sz w:val="24"/>
          <w:szCs w:val="24"/>
        </w:rPr>
      </w:pPr>
      <w:r w:rsidRPr="00AD5BC0">
        <w:rPr>
          <w:rFonts w:ascii="Garamond" w:hAnsi="Garamond" w:cs="Arial"/>
          <w:color w:val="002060"/>
          <w:sz w:val="24"/>
          <w:szCs w:val="24"/>
        </w:rPr>
        <w:t>Em 31 de dezembro de 2022, o Patrimônio Líquido do Fundo era de R$ 348,4</w:t>
      </w:r>
      <w:r>
        <w:rPr>
          <w:rFonts w:ascii="Garamond" w:hAnsi="Garamond" w:cs="Arial"/>
          <w:color w:val="002060"/>
          <w:sz w:val="24"/>
          <w:szCs w:val="24"/>
        </w:rPr>
        <w:t xml:space="preserve"> </w:t>
      </w:r>
      <w:r w:rsidRPr="00AD5BC0">
        <w:rPr>
          <w:rFonts w:ascii="Garamond" w:hAnsi="Garamond" w:cs="Arial"/>
          <w:color w:val="002060"/>
          <w:sz w:val="24"/>
          <w:szCs w:val="24"/>
        </w:rPr>
        <w:t>milhões.</w:t>
      </w:r>
    </w:p>
    <w:p w14:paraId="7CCAAAD4" w14:textId="0D5D2E06" w:rsidR="00537D04" w:rsidRPr="00AD5BC0" w:rsidRDefault="00537D04" w:rsidP="00AD5BC0">
      <w:pPr>
        <w:jc w:val="both"/>
        <w:rPr>
          <w:rFonts w:ascii="Garamond" w:hAnsi="Garamond"/>
          <w:b/>
          <w:bCs/>
          <w:color w:val="002060"/>
        </w:rPr>
      </w:pPr>
      <w:r w:rsidRPr="00AD5BC0">
        <w:rPr>
          <w:rFonts w:ascii="Garamond" w:hAnsi="Garamond"/>
          <w:b/>
          <w:bCs/>
          <w:color w:val="002060"/>
        </w:rPr>
        <w:t>1.4 FUNDO DE INDENIZAÇÕES DO SEGURO OBRIGATÓRIO DE EMBARCAÇÕES - DPEM</w:t>
      </w:r>
    </w:p>
    <w:p w14:paraId="060889C5" w14:textId="77777777" w:rsidR="00537D04" w:rsidRPr="00FE57FC" w:rsidRDefault="00537D04" w:rsidP="00AD5BC0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FE57FC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O fundo FUNDPEM teve sua criação autorizada pela Lei nº 13.313/2016, que alterou as Leis nº 12.712/2012 e 8.374/1991, e é destinado para a cobertura de indenizações por morte ou por invalidez permanente, bem como das despesas de assistência médica e suplementares, causadas exclusivamente por acidentes com embarcações não identificadas ou que estejam inadimplentes quanto ao pagamento do seguro </w:t>
      </w:r>
      <w:bookmarkStart w:id="21" w:name="page23"/>
      <w:bookmarkEnd w:id="21"/>
      <w:r w:rsidRPr="00FE57FC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obrigatório DPEM. É administrado, gerido e representado pela ABGF. Nos termos da legislação, as indenizações passaram a ser devidas por esse fundo de direito privado, o qual foi constituído pela ABGF em 23.01.2018 e é por ela administrado, gerido e representado.  </w:t>
      </w:r>
    </w:p>
    <w:p w14:paraId="1099FCB2" w14:textId="77777777" w:rsidR="00537D04" w:rsidRPr="00FE57FC" w:rsidRDefault="00537D04" w:rsidP="00AD5BC0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FE57FC">
        <w:rPr>
          <w:rFonts w:ascii="Garamond" w:eastAsia="Klavika-Bold" w:hAnsi="Garamond" w:cs="Arial"/>
          <w:bCs/>
          <w:color w:val="002060"/>
          <w:sz w:val="24"/>
          <w:szCs w:val="24"/>
        </w:rPr>
        <w:t>A referida lei estabelece que o patrimônio do FUNDPEM seja formado por parcela dos prêmios arrecadados pelo seguro DPEM, pelo resultado das aplicações financeiras dos seus recursos e por outras fontes definidas pelo CNSP. A lei define, ainda, que o FUNDPEM somente poderá indenizar se houver disponibilidade de recursos gerados pelos prêmios de seguros cobrados pelas seguradoras privadas no DPEM.</w:t>
      </w:r>
    </w:p>
    <w:p w14:paraId="7E7FFFFE" w14:textId="4A50221C" w:rsidR="00537D04" w:rsidRDefault="00537D04" w:rsidP="00AD5BC0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FE57FC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A legislação define que o CNSP disporá sobre as obrigações, os prazos para a implementação e a remuneração devida à administradora do fundo. Contudo, deve-se observar que a partir de abril de 2016 o mercado segurador privado deixou de oferecer o seguro DPEM, motivo pelo qual se tornou sem efeito a exigência de sua obrigatoriedade, nos termos do § 3º do art. 14 da Lei nº 8.374/1991, o que impossibilitou a formação do patrimônio do FUNDPEM, de forma que o Fundo não se encontra em operação. </w:t>
      </w:r>
    </w:p>
    <w:p w14:paraId="7F3979F0" w14:textId="57BE9A7D" w:rsidR="00AD5BC0" w:rsidRPr="00FE57FC" w:rsidRDefault="00AD5BC0" w:rsidP="00AD5BC0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AD5BC0">
        <w:rPr>
          <w:rFonts w:ascii="Garamond" w:eastAsia="Klavika-Bold" w:hAnsi="Garamond" w:cs="Arial"/>
          <w:bCs/>
          <w:color w:val="002060"/>
          <w:sz w:val="24"/>
          <w:szCs w:val="24"/>
        </w:rPr>
        <w:t>Questionada, em dezembro de 2022, sobre a existência de sociedades seguradoras</w:t>
      </w:r>
      <w:r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</w:t>
      </w:r>
      <w:r w:rsidRPr="00AD5BC0">
        <w:rPr>
          <w:rFonts w:ascii="Garamond" w:eastAsia="Klavika-Bold" w:hAnsi="Garamond" w:cs="Arial"/>
          <w:bCs/>
          <w:color w:val="002060"/>
          <w:sz w:val="24"/>
          <w:szCs w:val="24"/>
        </w:rPr>
        <w:t>operando o Seguro DPEM, a SUSEP, por meio do Despacho Eletrônico</w:t>
      </w:r>
      <w:r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</w:t>
      </w:r>
      <w:r w:rsidRPr="00AD5BC0">
        <w:rPr>
          <w:rFonts w:ascii="Garamond" w:eastAsia="Klavika-Bold" w:hAnsi="Garamond" w:cs="Arial"/>
          <w:bCs/>
          <w:color w:val="002060"/>
          <w:sz w:val="24"/>
          <w:szCs w:val="24"/>
        </w:rPr>
        <w:t>568/2022/CGRES/DIR1/SUSEP, informou não ter registro de seguradoras com</w:t>
      </w:r>
      <w:r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</w:t>
      </w:r>
      <w:r w:rsidRPr="00AD5BC0">
        <w:rPr>
          <w:rFonts w:ascii="Garamond" w:eastAsia="Klavika-Bold" w:hAnsi="Garamond" w:cs="Arial"/>
          <w:bCs/>
          <w:color w:val="002060"/>
          <w:sz w:val="24"/>
          <w:szCs w:val="24"/>
        </w:rPr>
        <w:t>emissão de prêmios de seguro DPEM ao longo de 2022.</w:t>
      </w:r>
    </w:p>
    <w:p w14:paraId="2C69E80F" w14:textId="367FC2FF" w:rsidR="00537D04" w:rsidRPr="00FE57FC" w:rsidRDefault="00537D04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69727B">
        <w:rPr>
          <w:rFonts w:ascii="Garamond" w:hAnsi="Garamond" w:cs="Arial"/>
          <w:b/>
          <w:color w:val="002060"/>
          <w:sz w:val="24"/>
          <w:szCs w:val="24"/>
        </w:rPr>
        <w:t>2. ESTRUTURAS DE CONTROLES INTERNOS E GERENCIAMENTO DE RISCOS</w:t>
      </w:r>
    </w:p>
    <w:p w14:paraId="500A367C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A ABGF conta com um modelo estruturado de Gestão de Riscos e Controles Internos em 03 (três) linhas, as quais envolvem as unidades gestoras dos processos, a Gerência de Gestão de Riscos e Conformidade e a Auditoria Interna, de forma a possibilitar a identificação, a avaliação dos riscos cujos impactos possam comprometer os objetivos estratégicos da Empresa e a quantificação de possíveis perdas por eles ocasionadas. Isso permite que a unidade realize mecanismos e ações de controle que mitiguem os riscos identificados e facilitem a continuidade dos negócios. </w:t>
      </w:r>
    </w:p>
    <w:p w14:paraId="4DEC99D3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>A gestão dos riscos é responsabilidade de todos os funcionários, de forma que a ABGF adota 03 (três) linhas de defesa:</w:t>
      </w:r>
    </w:p>
    <w:p w14:paraId="159FBA28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lastRenderedPageBreak/>
        <w:t>1ª linha de defesa: gestores e responsáveis diretos pelos processos, no âmbito de suas atribuições;</w:t>
      </w:r>
    </w:p>
    <w:p w14:paraId="2BB55265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>2ª linha de defesa: Gerência de Gestão de Riscos e Conformidade, por meio da prestação de assessoria na identificação dos riscos, é responsável também pelas verificações do cumprimento dos controles e da conformidade com os regulamentos vigentes; e</w:t>
      </w:r>
    </w:p>
    <w:p w14:paraId="6626B991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3ª linha de defesa: Auditoria Interna, responsável pelas avaliações independentes e sistematizadas.  </w:t>
      </w:r>
    </w:p>
    <w:p w14:paraId="678F292D" w14:textId="49B1C7F5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Para a Gestão de Riscos e Controles Internos, a ABGF tem como base os seguintes princípios: aderência à integridade e a valores éticos; II) disseminação de informações necessárias ao fortalecimento da cultura e da valorização dos controles internos da gestão; III) Clara definição dos responsáveis pelos controles internos e pela gestão dos riscos aos quais a ABGF está exposta; IV) comunicação do resultado da avaliação dos controles internos da gestão aos responsáveis pela adoção de ações corretivas, incluindo a alta administração. </w:t>
      </w:r>
    </w:p>
    <w:p w14:paraId="746549F7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>Os princípios base permeiam todas as atividades da ABGF, devendo ser aplicados de forma integrada, a fim de contribuir para a conformidade e eficiência da gestão da Empresa.</w:t>
      </w:r>
    </w:p>
    <w:p w14:paraId="081CA2E3" w14:textId="77777777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A Gestão de Riscos e Controles Internos é dinâmica, integrada e adaptável às mudanças, na medida em que aconteçam eventos, externos e internos, que modifiquem o ambiente da ABGF. Para tanto, as avaliações de risco devem observar as informações disponíveis, permitindo o tratamento dos riscos e a implementação de controles internos de forma tempestiva e apropriada.  </w:t>
      </w:r>
    </w:p>
    <w:p w14:paraId="4C8503E9" w14:textId="0758E35D" w:rsidR="00863419" w:rsidRPr="00863419" w:rsidRDefault="00863419" w:rsidP="00863419">
      <w:pPr>
        <w:jc w:val="both"/>
        <w:rPr>
          <w:rFonts w:ascii="Garamond" w:eastAsia="Klavika-Bold" w:hAnsi="Garamond" w:cs="Arial"/>
          <w:bCs/>
          <w:color w:val="002060"/>
          <w:sz w:val="24"/>
          <w:szCs w:val="24"/>
        </w:rPr>
      </w:pP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A Política de Gestão de Riscos e Controles Internos foi revisada em fevereiro de 2022, após a homologação do cancelamento de autorização de funcionamento da ABGF, pela SUSEP, para emissão de garantia direta, e a determinação da União de que a ABGF não está mais autorizada a contratar novas operações amparadas no FGIE, conforme o Decreto nº 10.918/2021, </w:t>
      </w:r>
      <w:r w:rsidR="006A50A6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sendo que </w:t>
      </w:r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>os riscos de Subscrição e Crédito passam e não mais fazer parte das categorias de riscos aos quais a ABGF está exposta, uma vez que estão diretamente relacionadas as garantias emitidas pela Empresa, seja diretamente, ou via fundos. A referida Política, ainda estabelece as diretrizes e responsabilidades a serem observadas, para todas as instâncias da Empresa, na gestão dos riscos incorridos pela ABGF, bem como assegurar um ambiente interno de conformidade e controles. Encontra-se disponível no site da ABGF: (</w:t>
      </w:r>
      <w:hyperlink r:id="rId16" w:history="1">
        <w:r w:rsidRPr="00863419">
          <w:rPr>
            <w:rFonts w:ascii="Garamond" w:eastAsia="Klavika-Bold" w:hAnsi="Garamond"/>
            <w:bCs/>
            <w:color w:val="002060"/>
          </w:rPr>
          <w:t>https://www.abgf.gov.br/sobre/politicas/</w:t>
        </w:r>
      </w:hyperlink>
      <w:r w:rsidRPr="00863419">
        <w:rPr>
          <w:rFonts w:ascii="Garamond" w:eastAsia="Klavika-Bold" w:hAnsi="Garamond" w:cs="Arial"/>
          <w:bCs/>
          <w:color w:val="002060"/>
          <w:sz w:val="24"/>
          <w:szCs w:val="24"/>
        </w:rPr>
        <w:t xml:space="preserve"> ).    </w:t>
      </w:r>
    </w:p>
    <w:p w14:paraId="79D8EE38" w14:textId="67708BB6" w:rsidR="00537D04" w:rsidRPr="00FE57FC" w:rsidRDefault="00537D04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69727B">
        <w:rPr>
          <w:rFonts w:ascii="Garamond" w:hAnsi="Garamond" w:cs="Arial"/>
          <w:b/>
          <w:color w:val="002060"/>
          <w:sz w:val="24"/>
          <w:szCs w:val="24"/>
        </w:rPr>
        <w:t>3. FATORES DE RISCO</w:t>
      </w:r>
    </w:p>
    <w:p w14:paraId="7AE2B921" w14:textId="5D7C466F" w:rsidR="0069727B" w:rsidRDefault="0069727B" w:rsidP="0069727B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69727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 Política de Gestão de Riscos e Controles Internos conta com o glossário com as categorias de riscos que ABGF pode ser exposta, ou seja, os pilares para avaliação de riscos e as diretrizes que deverão ser observadas pelo Controle Interno para mitigação dos riscos que são observados. Nesse sentido, detalhamos no quadro a seguir, as 06 (seis) categorias de riscos que a Empresa pode ser exposta:</w:t>
      </w:r>
    </w:p>
    <w:p w14:paraId="03A70956" w14:textId="77777777" w:rsidR="0084711E" w:rsidRPr="0069727B" w:rsidRDefault="0084711E" w:rsidP="0069727B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tbl>
      <w:tblPr>
        <w:tblStyle w:val="Tabelacomgrade"/>
        <w:tblW w:w="5000" w:type="pct"/>
        <w:jc w:val="center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360"/>
        <w:gridCol w:w="3224"/>
        <w:gridCol w:w="3890"/>
      </w:tblGrid>
      <w:tr w:rsidR="0069727B" w:rsidRPr="0069727B" w14:paraId="0549399B" w14:textId="77777777" w:rsidTr="0084711E">
        <w:trPr>
          <w:jc w:val="center"/>
        </w:trPr>
        <w:tc>
          <w:tcPr>
            <w:tcW w:w="802" w:type="pct"/>
            <w:vAlign w:val="center"/>
          </w:tcPr>
          <w:p w14:paraId="0025F43D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902" w:type="pct"/>
            <w:vAlign w:val="center"/>
            <w:hideMark/>
          </w:tcPr>
          <w:p w14:paraId="4B177CC2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Principais Riscos</w:t>
            </w:r>
          </w:p>
        </w:tc>
        <w:tc>
          <w:tcPr>
            <w:tcW w:w="2295" w:type="pct"/>
            <w:vAlign w:val="center"/>
            <w:hideMark/>
          </w:tcPr>
          <w:p w14:paraId="5F1A0BF2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Mitigadores</w:t>
            </w:r>
          </w:p>
        </w:tc>
      </w:tr>
      <w:tr w:rsidR="0069727B" w:rsidRPr="0069727B" w14:paraId="5F8059D1" w14:textId="77777777" w:rsidTr="0084711E">
        <w:trPr>
          <w:jc w:val="center"/>
        </w:trPr>
        <w:tc>
          <w:tcPr>
            <w:tcW w:w="802" w:type="pct"/>
            <w:vAlign w:val="center"/>
          </w:tcPr>
          <w:p w14:paraId="641A5453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Estratégico</w:t>
            </w:r>
          </w:p>
        </w:tc>
        <w:tc>
          <w:tcPr>
            <w:tcW w:w="1902" w:type="pct"/>
            <w:vAlign w:val="center"/>
            <w:hideMark/>
          </w:tcPr>
          <w:p w14:paraId="6121EEA9" w14:textId="77777777" w:rsidR="0069727B" w:rsidRPr="0069727B" w:rsidRDefault="0069727B" w:rsidP="0069727B">
            <w:pPr>
              <w:spacing w:line="252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Perdas resultante de incerteza que afetam a realização das diretrizes estratégicas da Empresa, ou seja, do insucesso das estratégias adotadas, levando-se em conta a dinâmica dos negócios (concorrência, clientes, fornecedores e investimentos) e as alterações políticas e econômicas no Brasil e a conjuntura global.</w:t>
            </w:r>
          </w:p>
        </w:tc>
        <w:tc>
          <w:tcPr>
            <w:tcW w:w="2295" w:type="pct"/>
            <w:hideMark/>
          </w:tcPr>
          <w:p w14:paraId="6DCDA28F" w14:textId="2DC20A32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Disseminar os objetivos estratégicos definidos no Planejamento Estratégico em todos os níveis da Empresa, bem como sua missão, visão e valores;</w:t>
            </w:r>
          </w:p>
          <w:p w14:paraId="04E227A3" w14:textId="77777777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Acompanhar e monitorar os indicadores de desempenho, a fim de cumprir os objetivos institucionais e metas estabelecidas; e</w:t>
            </w:r>
          </w:p>
          <w:p w14:paraId="73174A0A" w14:textId="6B2AAE1B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Fortalecer a cultura ética.</w:t>
            </w:r>
          </w:p>
        </w:tc>
      </w:tr>
      <w:tr w:rsidR="0069727B" w:rsidRPr="0069727B" w14:paraId="395C259E" w14:textId="77777777" w:rsidTr="0084711E">
        <w:trPr>
          <w:jc w:val="center"/>
        </w:trPr>
        <w:tc>
          <w:tcPr>
            <w:tcW w:w="802" w:type="pct"/>
            <w:vAlign w:val="center"/>
          </w:tcPr>
          <w:p w14:paraId="4A9ACF15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Legal</w:t>
            </w:r>
          </w:p>
        </w:tc>
        <w:tc>
          <w:tcPr>
            <w:tcW w:w="1902" w:type="pct"/>
            <w:vAlign w:val="center"/>
            <w:hideMark/>
          </w:tcPr>
          <w:p w14:paraId="300743ED" w14:textId="77777777" w:rsidR="0069727B" w:rsidRPr="0069727B" w:rsidRDefault="0069727B" w:rsidP="0069727B">
            <w:pPr>
              <w:spacing w:line="252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Perdas decorrente de atos de órgãos externos de supervisão e controle, bem como decisão desfavorável em processos judiciais ou administrativos.</w:t>
            </w:r>
          </w:p>
        </w:tc>
        <w:tc>
          <w:tcPr>
            <w:tcW w:w="2295" w:type="pct"/>
            <w:hideMark/>
          </w:tcPr>
          <w:p w14:paraId="21C5B923" w14:textId="77777777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Monitorar processos judiciais e administrativos de forma a identificar as probabilidades de perda, a fim de permitir a atuação jurídica tempestiva da Empresa.</w:t>
            </w:r>
          </w:p>
        </w:tc>
      </w:tr>
      <w:tr w:rsidR="0069727B" w:rsidRPr="0069727B" w14:paraId="756BE8C9" w14:textId="77777777" w:rsidTr="0084711E">
        <w:trPr>
          <w:jc w:val="center"/>
        </w:trPr>
        <w:tc>
          <w:tcPr>
            <w:tcW w:w="802" w:type="pct"/>
            <w:vAlign w:val="center"/>
          </w:tcPr>
          <w:p w14:paraId="47B8B34D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Imagem</w:t>
            </w:r>
          </w:p>
        </w:tc>
        <w:tc>
          <w:tcPr>
            <w:tcW w:w="1902" w:type="pct"/>
            <w:vAlign w:val="center"/>
            <w:hideMark/>
          </w:tcPr>
          <w:p w14:paraId="13C359F5" w14:textId="77777777" w:rsidR="0069727B" w:rsidRPr="0069727B" w:rsidRDefault="0069727B" w:rsidP="0069727B">
            <w:pPr>
              <w:spacing w:line="252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Comprometimento da confiança dos clientes, parceiros, fornecedores e sociedade em relação à capacidade da ABGF em cumprir sua missão institucional.</w:t>
            </w:r>
          </w:p>
        </w:tc>
        <w:tc>
          <w:tcPr>
            <w:tcW w:w="2295" w:type="pct"/>
            <w:hideMark/>
          </w:tcPr>
          <w:p w14:paraId="485EBC55" w14:textId="77777777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Avaliar e tratar as situações que possam afetar adversamente a sustentabilidade do negócio, com base na Política de Divulgação de Informações, de Relacionamento com a Imprensa e Porta-Vozes.</w:t>
            </w:r>
          </w:p>
        </w:tc>
      </w:tr>
      <w:tr w:rsidR="0069727B" w:rsidRPr="0069727B" w14:paraId="5BD91E4C" w14:textId="77777777" w:rsidTr="0084711E">
        <w:trPr>
          <w:jc w:val="center"/>
        </w:trPr>
        <w:tc>
          <w:tcPr>
            <w:tcW w:w="802" w:type="pct"/>
            <w:vAlign w:val="center"/>
          </w:tcPr>
          <w:p w14:paraId="1162F212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Liquidez</w:t>
            </w:r>
          </w:p>
        </w:tc>
        <w:tc>
          <w:tcPr>
            <w:tcW w:w="1902" w:type="pct"/>
            <w:vAlign w:val="center"/>
            <w:hideMark/>
          </w:tcPr>
          <w:p w14:paraId="1BED6020" w14:textId="77777777" w:rsidR="0069727B" w:rsidRPr="0069727B" w:rsidRDefault="0069727B" w:rsidP="0069727B">
            <w:pPr>
              <w:spacing w:line="252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Perda resultante do descasamento entre a entrada de recursos (recebimento de prêmios, recuperações e prestações de serviço) para atender às exigências de caixa que impactem o cumprimento de obrigações/compromissos programados, levando em consideração as diferentes moedas e prazos de liquidação de seus direitos e obrigações.</w:t>
            </w:r>
          </w:p>
        </w:tc>
        <w:tc>
          <w:tcPr>
            <w:tcW w:w="2295" w:type="pct"/>
            <w:hideMark/>
          </w:tcPr>
          <w:p w14:paraId="7C8D7F51" w14:textId="2CB65D6B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Observar o disposto na Política de Gestão de Caixa e Investimentos;</w:t>
            </w:r>
          </w:p>
          <w:p w14:paraId="5B5A4281" w14:textId="3CBA8C63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 xml:space="preserve">Monitorar o volume de capital disponível, para que seja suficiente para saldar seus compromissos, sejam para despesas operacionais ou para a cobertura das reservas relacionadas aos riscos do negócio; </w:t>
            </w:r>
          </w:p>
          <w:p w14:paraId="30B64746" w14:textId="77777777" w:rsidR="0069727B" w:rsidRPr="0069727B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Manter os níveis de ativos com alto grau de conversibilidade em espécie compatível com a necessidade de cobertura de passivos e outras destinações previstas para o curto prazo.</w:t>
            </w:r>
          </w:p>
        </w:tc>
      </w:tr>
      <w:tr w:rsidR="0069727B" w:rsidRPr="0069727B" w14:paraId="3F1CF5C9" w14:textId="77777777" w:rsidTr="0084711E">
        <w:trPr>
          <w:jc w:val="center"/>
        </w:trPr>
        <w:tc>
          <w:tcPr>
            <w:tcW w:w="802" w:type="pct"/>
            <w:vAlign w:val="center"/>
          </w:tcPr>
          <w:p w14:paraId="64899824" w14:textId="77777777" w:rsidR="0069727B" w:rsidRPr="005A78FB" w:rsidRDefault="0069727B" w:rsidP="0069727B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Operacional</w:t>
            </w:r>
          </w:p>
        </w:tc>
        <w:tc>
          <w:tcPr>
            <w:tcW w:w="1902" w:type="pct"/>
            <w:vAlign w:val="center"/>
            <w:hideMark/>
          </w:tcPr>
          <w:p w14:paraId="0D9E86BB" w14:textId="77777777" w:rsidR="0069727B" w:rsidRPr="0069727B" w:rsidRDefault="0069727B" w:rsidP="0069727B">
            <w:pPr>
              <w:spacing w:line="252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Comprometimento das atividades da ABGF, normalmente associados a falhas, deficiência ou inadequação de processos internos, pessoas, infraestrutura e sistemas, bem como eventos relacionados à corrupção, fraudes, irregularidades e/ ou desvios éticos e de conduta em desacordo com os valores e padrões preconizados pela Empresa e a realização de seus objetivos.</w:t>
            </w:r>
          </w:p>
        </w:tc>
        <w:tc>
          <w:tcPr>
            <w:tcW w:w="2295" w:type="pct"/>
            <w:hideMark/>
          </w:tcPr>
          <w:p w14:paraId="15A36BC2" w14:textId="77777777" w:rsidR="0069727B" w:rsidRPr="0084711E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</w:pPr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>Identificar, avaliar, tratar e monitorar periodicamente os riscos operacionais da Empresa utilizando metodologia própria, definida de acordo com as melhores práticas em gestão de riscos e controles internos;</w:t>
            </w:r>
          </w:p>
          <w:p w14:paraId="3969B151" w14:textId="77777777" w:rsidR="0069727B" w:rsidRPr="0084711E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</w:pPr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>Observar, na identificação e análise do risco operacional, as perspectivas de exposição a riscos relacionados à corrupção, lavagem de dinheiro, segurança da informação; conformidade, fraude e continuidade de negócios;</w:t>
            </w:r>
          </w:p>
          <w:p w14:paraId="26C440FA" w14:textId="77777777" w:rsidR="0069727B" w:rsidRPr="0084711E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</w:pPr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>Observar o disposto nas Políticas Institucionais;</w:t>
            </w:r>
          </w:p>
          <w:p w14:paraId="51FD7469" w14:textId="53261672" w:rsidR="0069727B" w:rsidRPr="0084711E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</w:pPr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 xml:space="preserve">Avaliar os riscos operacionais para assegurar a confiabilidade, </w:t>
            </w:r>
            <w:proofErr w:type="gramStart"/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>conformidade,  integridade</w:t>
            </w:r>
            <w:proofErr w:type="gramEnd"/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 xml:space="preserve">, exercício de alçadas decisórias,  disponibilidade de informações e processos; </w:t>
            </w:r>
          </w:p>
          <w:p w14:paraId="0367C5D4" w14:textId="6EB1F96C" w:rsidR="0069727B" w:rsidRPr="0084711E" w:rsidRDefault="0069727B" w:rsidP="0069727B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</w:pPr>
            <w:r w:rsidRPr="0084711E">
              <w:rPr>
                <w:rFonts w:ascii="Garamond" w:eastAsia="Times New Roman" w:hAnsi="Garamond" w:cs="Arial"/>
                <w:color w:val="002060"/>
                <w:sz w:val="21"/>
                <w:szCs w:val="21"/>
                <w:lang w:eastAsia="pt-BR"/>
              </w:rPr>
              <w:t>Estabelecer controles proporcionais ao risco, observada a relação custo-benefício e destinados a agregar valor.</w:t>
            </w:r>
          </w:p>
        </w:tc>
      </w:tr>
      <w:tr w:rsidR="0084711E" w:rsidRPr="0069727B" w14:paraId="2526E4BD" w14:textId="77777777" w:rsidTr="0084711E">
        <w:trPr>
          <w:jc w:val="center"/>
        </w:trPr>
        <w:tc>
          <w:tcPr>
            <w:tcW w:w="802" w:type="pct"/>
            <w:vAlign w:val="center"/>
          </w:tcPr>
          <w:p w14:paraId="4B924EF7" w14:textId="77777777" w:rsidR="0084711E" w:rsidRPr="005A78FB" w:rsidRDefault="0084711E" w:rsidP="0084711E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</w:p>
        </w:tc>
        <w:tc>
          <w:tcPr>
            <w:tcW w:w="1903" w:type="pct"/>
            <w:vAlign w:val="center"/>
          </w:tcPr>
          <w:p w14:paraId="46EC469A" w14:textId="47F011D6" w:rsidR="0084711E" w:rsidRPr="0069727B" w:rsidRDefault="0084711E" w:rsidP="0084711E">
            <w:pPr>
              <w:spacing w:line="252" w:lineRule="auto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Principais Riscos</w:t>
            </w:r>
          </w:p>
        </w:tc>
        <w:tc>
          <w:tcPr>
            <w:tcW w:w="2295" w:type="pct"/>
            <w:vAlign w:val="center"/>
          </w:tcPr>
          <w:p w14:paraId="715D58DC" w14:textId="5FE91B80" w:rsidR="0084711E" w:rsidRPr="0069727B" w:rsidRDefault="0084711E" w:rsidP="0084711E">
            <w:pPr>
              <w:pStyle w:val="PargrafodaLista"/>
              <w:tabs>
                <w:tab w:val="left" w:pos="172"/>
              </w:tabs>
              <w:spacing w:line="252" w:lineRule="auto"/>
              <w:ind w:left="30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Mitigadores</w:t>
            </w:r>
          </w:p>
        </w:tc>
      </w:tr>
      <w:tr w:rsidR="0084711E" w:rsidRPr="0069727B" w14:paraId="26ADF7D7" w14:textId="77777777" w:rsidTr="0084711E">
        <w:trPr>
          <w:jc w:val="center"/>
        </w:trPr>
        <w:tc>
          <w:tcPr>
            <w:tcW w:w="802" w:type="pct"/>
            <w:vAlign w:val="center"/>
          </w:tcPr>
          <w:p w14:paraId="455D7E85" w14:textId="77777777" w:rsidR="0084711E" w:rsidRPr="005A78FB" w:rsidRDefault="0084711E" w:rsidP="0084711E">
            <w:pPr>
              <w:spacing w:line="252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5A78FB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Mercado</w:t>
            </w:r>
          </w:p>
        </w:tc>
        <w:tc>
          <w:tcPr>
            <w:tcW w:w="1903" w:type="pct"/>
            <w:vAlign w:val="center"/>
            <w:hideMark/>
          </w:tcPr>
          <w:p w14:paraId="2ECB8A43" w14:textId="77777777" w:rsidR="0084711E" w:rsidRPr="0069727B" w:rsidRDefault="0084711E" w:rsidP="0084711E">
            <w:pPr>
              <w:spacing w:line="252" w:lineRule="auto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Perda resultante de flutuações de valores de mercado de posições detidas pela Empresa, bem como de perdas referentes à mudanças nas condições políticas, econômicas ou financeiras do Brasil ou de outros países.</w:t>
            </w:r>
          </w:p>
        </w:tc>
        <w:tc>
          <w:tcPr>
            <w:tcW w:w="2295" w:type="pct"/>
            <w:hideMark/>
          </w:tcPr>
          <w:p w14:paraId="5183ECED" w14:textId="77777777" w:rsidR="0084711E" w:rsidRPr="0069727B" w:rsidRDefault="0084711E" w:rsidP="0084711E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Observar o disposto na Política de Gestão de Caixa e Investimentos; e</w:t>
            </w:r>
          </w:p>
          <w:p w14:paraId="4D252FF7" w14:textId="77777777" w:rsidR="0084711E" w:rsidRPr="0069727B" w:rsidRDefault="0084711E" w:rsidP="0084711E">
            <w:pPr>
              <w:pStyle w:val="PargrafodaLista"/>
              <w:numPr>
                <w:ilvl w:val="0"/>
                <w:numId w:val="10"/>
              </w:numPr>
              <w:tabs>
                <w:tab w:val="left" w:pos="172"/>
              </w:tabs>
              <w:spacing w:line="252" w:lineRule="auto"/>
              <w:ind w:left="30" w:firstLine="0"/>
              <w:jc w:val="both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69727B">
              <w:rPr>
                <w:rFonts w:ascii="Garamond" w:eastAsia="Times New Roman" w:hAnsi="Garamond" w:cs="Arial"/>
                <w:color w:val="002060"/>
                <w:lang w:eastAsia="pt-BR"/>
              </w:rPr>
              <w:t>Monitorar os fatores de riscos que influenciam diretamente no retorno dos investimentos da Empresa, incluindo as posições de mercado e as condições econômicas e financeiras do Brasil e dos demais países.</w:t>
            </w:r>
          </w:p>
        </w:tc>
      </w:tr>
    </w:tbl>
    <w:p w14:paraId="7B09B62A" w14:textId="77777777" w:rsidR="0069727B" w:rsidRPr="0069727B" w:rsidRDefault="0069727B" w:rsidP="0069727B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</w:p>
    <w:p w14:paraId="3E9E58E7" w14:textId="4A9F9F41" w:rsidR="0069727B" w:rsidRPr="0069727B" w:rsidRDefault="0069727B" w:rsidP="0069727B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69727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Gestão de Risco é pauta permanente na Empresa </w:t>
      </w:r>
      <w:r w:rsidR="003A551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estando</w:t>
      </w:r>
      <w:r w:rsidRPr="0069727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refletid</w:t>
      </w:r>
      <w:r w:rsidR="006A50A6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</w:t>
      </w:r>
      <w:r w:rsidRPr="0069727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 no Planejamento Estratégico para o período de 2022-2026 que trouxe como objetivo estratégico a necessidade de aprimoramento do Modelo de Gestão de Riscos da ABGF.</w:t>
      </w:r>
    </w:p>
    <w:p w14:paraId="3E57CE6D" w14:textId="77777777" w:rsidR="0069727B" w:rsidRPr="0069727B" w:rsidRDefault="0069727B" w:rsidP="0069727B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69727B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Nessa esteira, no primeiro semestre de 2022, a ABGF iniciou o Projeto de Aprimoramento da Gestão de Riscos que contemplou principalmente o desenvolvimento da Matriz de Riscos, disseminação da cultura de Gestão de Riscos em todos os níveis da Empresa e elaboração da Norma de Gestão de Riscos. Relacionado especificamente à Matriz de Riscos, limitamos escopo nos eventos da categoria de Riscos Operacionais e usamos como ferramenta/metodologia, a Matriz de Probabilidade e Impacto que é mais simplificada e usada por outros Órgãos da União.  </w:t>
      </w:r>
    </w:p>
    <w:p w14:paraId="5466ACFC" w14:textId="55C37819" w:rsidR="00131C20" w:rsidRPr="00FE57FC" w:rsidRDefault="00E0685D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FE57FC">
        <w:rPr>
          <w:rFonts w:ascii="Garamond" w:hAnsi="Garamond" w:cs="Arial"/>
          <w:b/>
          <w:color w:val="002060"/>
          <w:sz w:val="24"/>
          <w:szCs w:val="24"/>
        </w:rPr>
        <w:t>4. DESEMPENHO ECONÔMICO-FINANCEIRO</w:t>
      </w:r>
    </w:p>
    <w:p w14:paraId="6AFA83CA" w14:textId="77777777" w:rsidR="00C826F3" w:rsidRPr="00C826F3" w:rsidRDefault="00C826F3" w:rsidP="00C826F3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C826F3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ABGF, em 2022, auferiu receita de serviços com a administração e gestão dos fundos FGIE e do FESR, e na prestação de serviços para a SE-CAMEX/ME relacionados ao Seguro de Crédito à Exportação ao amparado do Fundo de Garantia à Exportação (FGE). </w:t>
      </w:r>
    </w:p>
    <w:p w14:paraId="279EC25D" w14:textId="29ABB471" w:rsidR="00C826F3" w:rsidRPr="00C826F3" w:rsidRDefault="00C826F3" w:rsidP="00C826F3">
      <w:pPr>
        <w:spacing w:after="120"/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C826F3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Apresentamos a seguir a composição do Resultado dos períodos de 2022 e 2021:</w:t>
      </w:r>
    </w:p>
    <w:p w14:paraId="10932582" w14:textId="77777777" w:rsidR="00C826F3" w:rsidRPr="00807C6F" w:rsidRDefault="00C826F3" w:rsidP="00C826F3">
      <w:pPr>
        <w:spacing w:after="0"/>
        <w:jc w:val="right"/>
        <w:rPr>
          <w:rFonts w:ascii="Garamond" w:eastAsia="Times New Roman" w:hAnsi="Garamond" w:cs="Arial"/>
          <w:color w:val="002060"/>
          <w:sz w:val="20"/>
          <w:szCs w:val="20"/>
          <w:lang w:eastAsia="pt-BR"/>
        </w:rPr>
      </w:pPr>
      <w:r w:rsidRPr="00807C6F">
        <w:rPr>
          <w:rFonts w:ascii="Garamond" w:eastAsia="Times New Roman" w:hAnsi="Garamond" w:cs="Arial"/>
          <w:color w:val="002060"/>
          <w:sz w:val="20"/>
          <w:szCs w:val="20"/>
          <w:lang w:eastAsia="pt-BR"/>
        </w:rPr>
        <w:t>Valores expressos em Reais</w:t>
      </w:r>
    </w:p>
    <w:tbl>
      <w:tblPr>
        <w:tblW w:w="8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218"/>
        <w:gridCol w:w="235"/>
        <w:gridCol w:w="1161"/>
        <w:gridCol w:w="146"/>
        <w:gridCol w:w="992"/>
      </w:tblGrid>
      <w:tr w:rsidR="00C826F3" w:rsidRPr="00807C6F" w14:paraId="4332B604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ECF2FF"/>
            <w:noWrap/>
            <w:vAlign w:val="bottom"/>
            <w:hideMark/>
          </w:tcPr>
          <w:p w14:paraId="781296C8" w14:textId="77777777" w:rsidR="00C826F3" w:rsidRPr="00807C6F" w:rsidRDefault="00C826F3">
            <w:pPr>
              <w:spacing w:line="240" w:lineRule="auto"/>
              <w:jc w:val="center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  <w:bookmarkStart w:id="22" w:name="_Hlk65058452"/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CF2FF"/>
            <w:vAlign w:val="bottom"/>
            <w:hideMark/>
          </w:tcPr>
          <w:p w14:paraId="7C2F7D73" w14:textId="77777777" w:rsidR="00C826F3" w:rsidRPr="00807C6F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ECF2FF"/>
            <w:noWrap/>
            <w:vAlign w:val="bottom"/>
            <w:hideMark/>
          </w:tcPr>
          <w:p w14:paraId="44EC9C4A" w14:textId="77777777" w:rsidR="00C826F3" w:rsidRPr="00807C6F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CF2FF"/>
            <w:vAlign w:val="bottom"/>
            <w:hideMark/>
          </w:tcPr>
          <w:p w14:paraId="443491EF" w14:textId="77777777" w:rsidR="00C826F3" w:rsidRPr="00807C6F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  <w:t>2021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ECF2FF"/>
            <w:vAlign w:val="bottom"/>
            <w:hideMark/>
          </w:tcPr>
          <w:p w14:paraId="2FCF4981" w14:textId="77777777" w:rsidR="00C826F3" w:rsidRPr="00807C6F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CF2FF"/>
            <w:vAlign w:val="bottom"/>
            <w:hideMark/>
          </w:tcPr>
          <w:p w14:paraId="3E439EDF" w14:textId="77777777" w:rsidR="00C826F3" w:rsidRPr="00807C6F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  <w:t>Var. %</w:t>
            </w:r>
          </w:p>
        </w:tc>
      </w:tr>
      <w:tr w:rsidR="00C826F3" w:rsidRPr="00807C6F" w14:paraId="06F3FCB5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8B9A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bCs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45BF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D901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CDAA7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D29E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CAEA1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</w:tr>
      <w:tr w:rsidR="00C826F3" w:rsidRPr="00807C6F" w14:paraId="62FDF88E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2514B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Serviços Prestados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58428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 xml:space="preserve">20.799.453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8BF189" w14:textId="77777777" w:rsidR="00C826F3" w:rsidRPr="00807C6F" w:rsidRDefault="00C826F3">
            <w:pPr>
              <w:spacing w:after="0"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DEA1D" w14:textId="77777777" w:rsidR="00C826F3" w:rsidRPr="00807C6F" w:rsidRDefault="00C826F3">
            <w:pPr>
              <w:spacing w:after="0"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20.606.420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B301A" w14:textId="77777777" w:rsidR="00C826F3" w:rsidRPr="00807C6F" w:rsidRDefault="00C826F3">
            <w:pPr>
              <w:spacing w:after="0"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13FEA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0,9%</w:t>
            </w:r>
          </w:p>
        </w:tc>
      </w:tr>
      <w:tr w:rsidR="00C826F3" w:rsidRPr="00807C6F" w14:paraId="14C3CD88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545DD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(-) Tributos sobre o Faturamento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606CD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 xml:space="preserve">(2.963.922)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FC64F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78463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  <w:t>(2.936.415)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EB2F1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38D6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0,9%</w:t>
            </w:r>
          </w:p>
        </w:tc>
      </w:tr>
      <w:tr w:rsidR="00C826F3" w:rsidRPr="00807C6F" w14:paraId="2D8FF84C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0A795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  <w:t>Receita Líquida de Serviços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9DC6A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 xml:space="preserve">17.835.531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29ADD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FE0690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  <w:t>17.670.005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EA1C6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EC23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>0,9%</w:t>
            </w:r>
          </w:p>
        </w:tc>
      </w:tr>
      <w:tr w:rsidR="00C826F3" w:rsidRPr="00807C6F" w14:paraId="5A89A360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53F93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Resultado Financeiro Líquido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49437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35.306.081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6C319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743A4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  <w:t>12.630.823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AAED7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33C9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179,5%</w:t>
            </w:r>
          </w:p>
        </w:tc>
      </w:tr>
      <w:tr w:rsidR="00C826F3" w:rsidRPr="00807C6F" w14:paraId="5E498CDC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D6F4A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</w:pPr>
            <w:r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  <w:t>Receitas Totais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36CC8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 xml:space="preserve">53.141.612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611B15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58DA15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  <w:t>30.300.828</w:t>
            </w:r>
          </w:p>
          <w:p w14:paraId="67B32F38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275E25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3935F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>75,4%</w:t>
            </w:r>
          </w:p>
        </w:tc>
      </w:tr>
      <w:tr w:rsidR="00C826F3" w:rsidRPr="00807C6F" w14:paraId="0C530EE0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DBC99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(-) Despesas Operacionais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909E9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 xml:space="preserve">(18.068.368)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6DD855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11008E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  <w:t>(15.203.454)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4F32F6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2C601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18,8%</w:t>
            </w:r>
          </w:p>
        </w:tc>
      </w:tr>
      <w:tr w:rsidR="00C826F3" w:rsidRPr="00807C6F" w14:paraId="3407064D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E5A40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</w:pPr>
            <w:r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  <w:t>Resultado do Exercício</w:t>
            </w:r>
            <w:r w:rsidRPr="00807C6F"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  <w:t xml:space="preserve"> (antes de IRPJ e CSLL)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92FE7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 xml:space="preserve">35.073.244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FF84EA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AD03D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  <w:t>15.097.374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3375BA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119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  <w:t>132,3%</w:t>
            </w:r>
          </w:p>
        </w:tc>
      </w:tr>
      <w:tr w:rsidR="00C826F3" w:rsidRPr="00807C6F" w14:paraId="446BE0A5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97FE8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IRPJ e CSLL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CA925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 xml:space="preserve">(9.778.359) 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F1BD5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8B433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  <w:t>(4.182.424)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5F852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3BED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color w:val="003366"/>
                <w:sz w:val="20"/>
                <w:szCs w:val="20"/>
                <w:lang w:eastAsia="pt-BR"/>
              </w:rPr>
              <w:t>133,8%</w:t>
            </w:r>
          </w:p>
        </w:tc>
      </w:tr>
      <w:tr w:rsidR="00C826F3" w:rsidRPr="00807C6F" w14:paraId="1CAD87CE" w14:textId="77777777">
        <w:trPr>
          <w:cantSplit/>
          <w:trHeight w:hRule="exact" w:val="255"/>
        </w:trPr>
        <w:tc>
          <w:tcPr>
            <w:tcW w:w="48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95E2D8" w14:textId="77777777" w:rsidR="00C826F3" w:rsidRPr="00807C6F" w:rsidRDefault="00C826F3">
            <w:pPr>
              <w:spacing w:line="240" w:lineRule="auto"/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</w:pPr>
            <w:r>
              <w:rPr>
                <w:rFonts w:ascii="Garamond" w:eastAsia="Times New Roman" w:hAnsi="Garamond" w:cs="Arial"/>
                <w:b/>
                <w:bCs/>
                <w:color w:val="003366"/>
                <w:sz w:val="20"/>
                <w:szCs w:val="20"/>
                <w:lang w:eastAsia="pt-BR"/>
              </w:rPr>
              <w:t>Lucro Líquido do Exercício</w:t>
            </w:r>
          </w:p>
        </w:tc>
        <w:tc>
          <w:tcPr>
            <w:tcW w:w="12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2C6E8F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 xml:space="preserve">25.294.885 </w:t>
            </w:r>
          </w:p>
        </w:tc>
        <w:tc>
          <w:tcPr>
            <w:tcW w:w="235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19A219D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10870AE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  <w:t>10.914.950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BD7ABBC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2060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E4340D" w14:textId="77777777" w:rsidR="00C826F3" w:rsidRPr="00807C6F" w:rsidRDefault="00C826F3">
            <w:pPr>
              <w:spacing w:line="240" w:lineRule="auto"/>
              <w:jc w:val="right"/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</w:pPr>
            <w:r w:rsidRPr="00807C6F">
              <w:rPr>
                <w:rFonts w:ascii="Garamond" w:eastAsia="Times New Roman" w:hAnsi="Garamond" w:cs="Arial"/>
                <w:b/>
                <w:color w:val="003366"/>
                <w:sz w:val="20"/>
                <w:szCs w:val="20"/>
                <w:lang w:eastAsia="pt-BR"/>
              </w:rPr>
              <w:t>131,7%</w:t>
            </w:r>
          </w:p>
        </w:tc>
      </w:tr>
      <w:bookmarkEnd w:id="22"/>
    </w:tbl>
    <w:p w14:paraId="483F9C56" w14:textId="77777777" w:rsidR="00C826F3" w:rsidRPr="00E93688" w:rsidRDefault="00C826F3" w:rsidP="00C826F3">
      <w:pPr>
        <w:spacing w:after="0" w:line="240" w:lineRule="auto"/>
        <w:rPr>
          <w:rFonts w:eastAsia="Times New Roman" w:cs="Arial"/>
          <w:color w:val="002060"/>
          <w:sz w:val="18"/>
          <w:szCs w:val="18"/>
          <w:lang w:eastAsia="pt-BR"/>
        </w:rPr>
      </w:pPr>
    </w:p>
    <w:p w14:paraId="4B5D796A" w14:textId="77777777" w:rsidR="00C826F3" w:rsidRPr="00C826F3" w:rsidRDefault="00C826F3" w:rsidP="00C826F3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C826F3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O resultado do exercício de 2022 foi de R$ 35.073 mil, antes da provisão para o imposto de renda e da contribuição social, ante a um resultado de R$ 15.097 mil no mesmo período de 2021, com aumento na ordem de 132,3%. Esse resultado foi impactado, principalmente, pela elevação do resultado financeiro da ordem de 179,5% e das receitas com prestação de serviços, em 0,9%, decorrente, principalmente, da pelo ajuste contratual dos serviços prestados à SE-CAMEX/ME. </w:t>
      </w:r>
    </w:p>
    <w:p w14:paraId="3063FD37" w14:textId="77777777" w:rsidR="00C826F3" w:rsidRPr="00C826F3" w:rsidRDefault="00C826F3" w:rsidP="00C826F3">
      <w:pPr>
        <w:jc w:val="both"/>
        <w:rPr>
          <w:rFonts w:ascii="Garamond" w:hAnsi="Garamond"/>
          <w:color w:val="002060"/>
          <w:sz w:val="24"/>
          <w:szCs w:val="24"/>
        </w:rPr>
      </w:pPr>
      <w:r w:rsidRPr="00C826F3">
        <w:rPr>
          <w:rFonts w:ascii="Garamond" w:hAnsi="Garamond"/>
          <w:color w:val="002060"/>
          <w:sz w:val="24"/>
          <w:szCs w:val="24"/>
        </w:rPr>
        <w:lastRenderedPageBreak/>
        <w:t>A elevação do resultado financeiro líquido de 179,5% pode ser explicada pela elevação da taxa de juros “Selic” em papéis pós-fixados, base da carteira do fundo mantido junto ao Fundo de Investimento.</w:t>
      </w:r>
    </w:p>
    <w:p w14:paraId="2E6A1BB0" w14:textId="77777777" w:rsidR="00C826F3" w:rsidRDefault="00C826F3" w:rsidP="00C826F3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C826F3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As despesas operacionais em 2022 tiveram aumento de 18,8% em relação ao ano de 2021, decorrente, principalmente, pelos reajustes contratuais dos serviços de terceiros, e, da readequação do quadro de pessoal ocorridas em 2022. </w:t>
      </w:r>
    </w:p>
    <w:p w14:paraId="2EA2FD16" w14:textId="77777777" w:rsidR="00C826F3" w:rsidRPr="00C826F3" w:rsidRDefault="00C826F3" w:rsidP="00C826F3">
      <w:pPr>
        <w:jc w:val="both"/>
        <w:rPr>
          <w:rFonts w:ascii="Garamond" w:hAnsi="Garamond"/>
          <w:color w:val="002060"/>
          <w:sz w:val="24"/>
          <w:szCs w:val="24"/>
        </w:rPr>
      </w:pPr>
      <w:r w:rsidRPr="00C826F3">
        <w:rPr>
          <w:rFonts w:ascii="Garamond" w:hAnsi="Garamond"/>
          <w:color w:val="002060"/>
          <w:sz w:val="24"/>
          <w:szCs w:val="24"/>
        </w:rPr>
        <w:t>O índice de eficiência operacional é calculado pela relação entre a despesa operacional e a receita líquida operacional. Eventuais reduções ou incrementos de receitas também devem ser considerados no cálculo. O quadro a seguir demonstra o Índice de Eficiência Operacional do exercício de 2022 em comparação ao ano de 2021:</w:t>
      </w:r>
    </w:p>
    <w:p w14:paraId="3DD40B16" w14:textId="77777777" w:rsidR="00C826F3" w:rsidRPr="008B7AF8" w:rsidRDefault="00C826F3" w:rsidP="00C826F3">
      <w:pPr>
        <w:spacing w:after="0"/>
        <w:jc w:val="right"/>
        <w:rPr>
          <w:rFonts w:ascii="Garamond" w:eastAsia="Times New Roman" w:hAnsi="Garamond" w:cs="Arial"/>
          <w:color w:val="002060"/>
          <w:sz w:val="20"/>
          <w:szCs w:val="20"/>
          <w:lang w:eastAsia="pt-BR"/>
        </w:rPr>
      </w:pPr>
      <w:r w:rsidRPr="008B7AF8">
        <w:rPr>
          <w:rFonts w:ascii="Garamond" w:eastAsia="Times New Roman" w:hAnsi="Garamond" w:cs="Arial"/>
          <w:color w:val="002060"/>
          <w:sz w:val="20"/>
          <w:szCs w:val="20"/>
          <w:lang w:eastAsia="pt-BR"/>
        </w:rPr>
        <w:t>Valores expressos em milhões de Reais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2623"/>
        <w:gridCol w:w="2703"/>
      </w:tblGrid>
      <w:tr w:rsidR="00C826F3" w:rsidRPr="003C0D2E" w14:paraId="5E220D24" w14:textId="77777777">
        <w:trPr>
          <w:trHeight w:val="284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14:paraId="0ABA1985" w14:textId="77777777" w:rsidR="00C826F3" w:rsidRPr="003C0D2E" w:rsidRDefault="00C826F3">
            <w:pPr>
              <w:spacing w:after="0" w:line="240" w:lineRule="auto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EFICIÊNCIA OPERACIONAL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14:paraId="2071C495" w14:textId="77777777" w:rsidR="00C826F3" w:rsidRPr="003C0D2E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2022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bottom"/>
            <w:hideMark/>
          </w:tcPr>
          <w:p w14:paraId="478F439F" w14:textId="77777777" w:rsidR="00C826F3" w:rsidRPr="003C0D2E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2021</w:t>
            </w:r>
          </w:p>
        </w:tc>
      </w:tr>
      <w:tr w:rsidR="00C826F3" w:rsidRPr="003C0D2E" w14:paraId="6DD3EE7D" w14:textId="77777777">
        <w:trPr>
          <w:trHeight w:val="284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F0ADF" w14:textId="77777777" w:rsidR="00C826F3" w:rsidRPr="003C0D2E" w:rsidRDefault="00C826F3">
            <w:pPr>
              <w:spacing w:after="0" w:line="240" w:lineRule="auto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color w:val="002060"/>
                <w:lang w:eastAsia="pt-BR"/>
              </w:rPr>
              <w:t>Receita Operacional Líquida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0352" w14:textId="77777777" w:rsidR="00C826F3" w:rsidRPr="003C0D2E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color w:val="002060"/>
                <w:lang w:eastAsia="pt-BR"/>
              </w:rPr>
              <w:t>17,8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59B9" w14:textId="77777777" w:rsidR="00C826F3" w:rsidRPr="003C0D2E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color w:val="002060"/>
                <w:lang w:eastAsia="pt-BR"/>
              </w:rPr>
              <w:t>17,7</w:t>
            </w:r>
          </w:p>
        </w:tc>
      </w:tr>
      <w:tr w:rsidR="00C826F3" w:rsidRPr="003C0D2E" w14:paraId="6E3CCE2C" w14:textId="77777777">
        <w:trPr>
          <w:trHeight w:val="284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1AE8" w14:textId="77777777" w:rsidR="00C826F3" w:rsidRPr="003C0D2E" w:rsidRDefault="00C826F3">
            <w:pPr>
              <w:spacing w:after="0" w:line="240" w:lineRule="auto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color w:val="002060"/>
                <w:lang w:eastAsia="pt-BR"/>
              </w:rPr>
              <w:t>Despesa Operacional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2CE4" w14:textId="77777777" w:rsidR="00C826F3" w:rsidRPr="003C0D2E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color w:val="002060"/>
                <w:lang w:eastAsia="pt-BR"/>
              </w:rPr>
              <w:t>15,9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1558" w14:textId="77777777" w:rsidR="00C826F3" w:rsidRPr="003C0D2E" w:rsidRDefault="00C826F3">
            <w:pPr>
              <w:spacing w:after="0" w:line="240" w:lineRule="auto"/>
              <w:jc w:val="center"/>
              <w:rPr>
                <w:rFonts w:ascii="Garamond" w:eastAsia="Times New Roman" w:hAnsi="Garamond" w:cs="Arial"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color w:val="002060"/>
                <w:lang w:eastAsia="pt-BR"/>
              </w:rPr>
              <w:t>15,2</w:t>
            </w:r>
          </w:p>
        </w:tc>
      </w:tr>
      <w:tr w:rsidR="00C826F3" w:rsidRPr="003C0D2E" w14:paraId="5C14DB1A" w14:textId="77777777">
        <w:trPr>
          <w:trHeight w:val="284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5BE8" w14:textId="77777777" w:rsidR="00C826F3" w:rsidRPr="003C0D2E" w:rsidRDefault="00C826F3">
            <w:pPr>
              <w:spacing w:before="120" w:after="0" w:line="240" w:lineRule="auto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>INDICADOR REALIZADO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98BD" w14:textId="77777777" w:rsidR="00C826F3" w:rsidRPr="003C0D2E" w:rsidRDefault="00C826F3">
            <w:pPr>
              <w:spacing w:before="120"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 xml:space="preserve">0,89 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731C" w14:textId="77777777" w:rsidR="00C826F3" w:rsidRPr="003C0D2E" w:rsidRDefault="00C826F3">
            <w:pPr>
              <w:spacing w:before="120" w:after="0" w:line="240" w:lineRule="auto"/>
              <w:jc w:val="center"/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</w:pPr>
            <w:r w:rsidRPr="003C0D2E">
              <w:rPr>
                <w:rFonts w:ascii="Garamond" w:eastAsia="Times New Roman" w:hAnsi="Garamond" w:cs="Arial"/>
                <w:b/>
                <w:bCs/>
                <w:color w:val="002060"/>
                <w:lang w:eastAsia="pt-BR"/>
              </w:rPr>
              <w:t xml:space="preserve">0,86 </w:t>
            </w:r>
          </w:p>
        </w:tc>
      </w:tr>
    </w:tbl>
    <w:p w14:paraId="27265DCC" w14:textId="77777777" w:rsidR="00C826F3" w:rsidRDefault="00C826F3" w:rsidP="00C826F3">
      <w:pPr>
        <w:tabs>
          <w:tab w:val="left" w:pos="1134"/>
        </w:tabs>
        <w:spacing w:before="120" w:after="0" w:line="192" w:lineRule="auto"/>
        <w:ind w:left="1134" w:hanging="1134"/>
        <w:rPr>
          <w:rFonts w:ascii="Garamond" w:hAnsi="Garamond" w:cs="Arial"/>
          <w:i/>
          <w:color w:val="002060"/>
          <w:sz w:val="20"/>
          <w:szCs w:val="20"/>
        </w:rPr>
      </w:pPr>
      <w:r w:rsidRPr="003C0D2E">
        <w:rPr>
          <w:rFonts w:ascii="Garamond" w:hAnsi="Garamond" w:cs="Arial"/>
          <w:i/>
          <w:color w:val="002060"/>
          <w:sz w:val="20"/>
          <w:szCs w:val="20"/>
        </w:rPr>
        <w:t>Observação:</w:t>
      </w:r>
      <w:r w:rsidRPr="003C0D2E">
        <w:rPr>
          <w:rFonts w:ascii="Garamond" w:hAnsi="Garamond" w:cs="Arial"/>
          <w:i/>
          <w:color w:val="002060"/>
          <w:sz w:val="20"/>
          <w:szCs w:val="20"/>
        </w:rPr>
        <w:tab/>
        <w:t xml:space="preserve">As receitas operacionais estão líquidas das deduções (impostos sobre o faturamento) e não consideram as receitas financeiras. </w:t>
      </w:r>
    </w:p>
    <w:p w14:paraId="05E91D6D" w14:textId="77777777" w:rsidR="00C826F3" w:rsidRPr="003C0D2E" w:rsidRDefault="00C826F3" w:rsidP="00C826F3">
      <w:pPr>
        <w:tabs>
          <w:tab w:val="left" w:pos="1134"/>
        </w:tabs>
        <w:spacing w:after="0" w:line="192" w:lineRule="auto"/>
        <w:ind w:left="1134" w:hanging="1134"/>
        <w:rPr>
          <w:rFonts w:ascii="Garamond" w:hAnsi="Garamond" w:cs="Arial"/>
          <w:i/>
          <w:color w:val="002060"/>
          <w:sz w:val="20"/>
          <w:szCs w:val="20"/>
        </w:rPr>
      </w:pPr>
      <w:r>
        <w:rPr>
          <w:rFonts w:ascii="Garamond" w:hAnsi="Garamond" w:cs="Arial"/>
          <w:i/>
          <w:color w:val="002060"/>
          <w:sz w:val="20"/>
          <w:szCs w:val="20"/>
        </w:rPr>
        <w:tab/>
      </w:r>
      <w:r w:rsidRPr="003C0D2E">
        <w:rPr>
          <w:rFonts w:ascii="Garamond" w:hAnsi="Garamond" w:cs="Arial"/>
          <w:i/>
          <w:color w:val="002060"/>
          <w:sz w:val="20"/>
          <w:szCs w:val="20"/>
        </w:rPr>
        <w:t>As despesas operacionais excluem os tributos sobre o Lucro</w:t>
      </w:r>
      <w:r>
        <w:rPr>
          <w:rFonts w:ascii="Garamond" w:hAnsi="Garamond" w:cs="Arial"/>
          <w:i/>
          <w:color w:val="002060"/>
          <w:sz w:val="20"/>
          <w:szCs w:val="20"/>
        </w:rPr>
        <w:t>, os tributos incidentes sobre as receitas financeiras, depreciação</w:t>
      </w:r>
      <w:r w:rsidRPr="003C0D2E">
        <w:rPr>
          <w:rFonts w:ascii="Garamond" w:hAnsi="Garamond" w:cs="Arial"/>
          <w:i/>
          <w:color w:val="002060"/>
          <w:sz w:val="20"/>
          <w:szCs w:val="20"/>
        </w:rPr>
        <w:t xml:space="preserve"> e as despesas financeiras.</w:t>
      </w:r>
    </w:p>
    <w:p w14:paraId="5B1A888E" w14:textId="77777777" w:rsidR="00C826F3" w:rsidRPr="00C826F3" w:rsidRDefault="00C826F3" w:rsidP="00C826F3">
      <w:pPr>
        <w:pStyle w:val="NormalWeb"/>
        <w:spacing w:before="0" w:beforeAutospacing="0" w:line="276" w:lineRule="auto"/>
        <w:jc w:val="both"/>
        <w:rPr>
          <w:rFonts w:ascii="Garamond" w:eastAsia="Calibri" w:hAnsi="Garamond"/>
          <w:color w:val="002060"/>
          <w:lang w:eastAsia="en-US"/>
        </w:rPr>
      </w:pPr>
      <w:r w:rsidRPr="00C826F3">
        <w:rPr>
          <w:rFonts w:ascii="Garamond" w:eastAsia="Calibri" w:hAnsi="Garamond"/>
          <w:color w:val="002060"/>
          <w:lang w:eastAsia="en-US"/>
        </w:rPr>
        <w:t xml:space="preserve">A ABGF vem mantendo o compromisso em alcançar o equilíbrio econômico-financeiro. Entretanto, dada a situação atual da empresa, as despesas vêm sendo acrescidas, principalmente, em virtude dos reajustes salarial decorrente de acordo coletivo e de revisão dos demais contratos necessários para a manutenção dos serviços prestados. Por outro lado, as receitas operacionais estão limitadas em função dos contratos de prestação de serviços atualmente existentes. </w:t>
      </w:r>
    </w:p>
    <w:p w14:paraId="342F4256" w14:textId="11E008A0" w:rsidR="000850DE" w:rsidRPr="00C826F3" w:rsidRDefault="00C826F3" w:rsidP="00C826F3">
      <w:pPr>
        <w:pStyle w:val="NormalWeb"/>
        <w:spacing w:before="0" w:beforeAutospacing="0" w:line="276" w:lineRule="auto"/>
        <w:jc w:val="both"/>
        <w:rPr>
          <w:color w:val="000000"/>
        </w:rPr>
      </w:pPr>
      <w:r w:rsidRPr="00C826F3">
        <w:rPr>
          <w:rFonts w:ascii="Garamond" w:eastAsia="Calibri" w:hAnsi="Garamond"/>
          <w:color w:val="002060"/>
          <w:lang w:eastAsia="en-US"/>
        </w:rPr>
        <w:t>Essa movimentação de custos e receitas fez com que o Índice de Eficiência Operacional apresentasse uma pequena variação que evidencia elevação de 0,035%, passando de 0,86 no exercício de 2021 para 0,89 em 2022.</w:t>
      </w:r>
    </w:p>
    <w:p w14:paraId="150A74E9" w14:textId="29063B68" w:rsidR="00537D04" w:rsidRDefault="00E0685D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 w:rsidRPr="00FE57FC">
        <w:rPr>
          <w:rFonts w:ascii="Garamond" w:hAnsi="Garamond" w:cs="Arial"/>
          <w:b/>
          <w:color w:val="002060"/>
          <w:sz w:val="24"/>
          <w:szCs w:val="24"/>
        </w:rPr>
        <w:t>5.</w:t>
      </w:r>
      <w:r w:rsidR="00537D04">
        <w:rPr>
          <w:rFonts w:ascii="Garamond" w:hAnsi="Garamond" w:cs="Arial"/>
          <w:b/>
          <w:color w:val="002060"/>
          <w:sz w:val="24"/>
          <w:szCs w:val="24"/>
        </w:rPr>
        <w:t xml:space="preserve"> POLÍTICAS E PRÁTICAS DE GOVERNANÇA CORPORATIVA </w:t>
      </w:r>
    </w:p>
    <w:p w14:paraId="49528B5B" w14:textId="0D1DD07A" w:rsidR="00537D04" w:rsidRPr="00AD5BC0" w:rsidRDefault="00EF7D9E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EF7D9E">
        <w:rPr>
          <w:rFonts w:ascii="Garamond" w:hAnsi="Garamond" w:cs="Arial"/>
          <w:bCs/>
          <w:color w:val="002060"/>
          <w:sz w:val="24"/>
          <w:szCs w:val="24"/>
        </w:rPr>
        <w:t xml:space="preserve">A ABGF </w:t>
      </w:r>
      <w:r>
        <w:rPr>
          <w:rFonts w:ascii="Garamond" w:hAnsi="Garamond" w:cs="Arial"/>
          <w:bCs/>
          <w:color w:val="002060"/>
          <w:sz w:val="24"/>
          <w:szCs w:val="24"/>
        </w:rPr>
        <w:t>possui uma Política de Governança disponível no seu sítio eletrônico (</w:t>
      </w:r>
      <w:hyperlink r:id="rId17" w:history="1">
        <w:r w:rsidRPr="006115BB">
          <w:rPr>
            <w:rStyle w:val="Hyperlink"/>
            <w:rFonts w:ascii="Garamond" w:hAnsi="Garamond" w:cs="Arial"/>
            <w:bCs/>
            <w:sz w:val="24"/>
            <w:szCs w:val="24"/>
          </w:rPr>
          <w:t>https://www.abgf.gov.br/sobre/politicas</w:t>
        </w:r>
      </w:hyperlink>
      <w:r>
        <w:rPr>
          <w:rFonts w:ascii="Garamond" w:hAnsi="Garamond" w:cs="Arial"/>
          <w:bCs/>
          <w:color w:val="002060"/>
          <w:sz w:val="24"/>
          <w:szCs w:val="24"/>
        </w:rPr>
        <w:t xml:space="preserve">), </w:t>
      </w:r>
      <w:r w:rsidRPr="00AD5BC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que tem por objetivo estabelecer os princípios, diretrizes e responsabilidades a serem observadas para o cumprimento dos objetivos estratégicos e objeto social da empresa, bem como assegurar o fortalecimento, disseminação de cultura e funcionamento da governança corporativa na ABGF.</w:t>
      </w:r>
    </w:p>
    <w:p w14:paraId="4BD398C2" w14:textId="326CA3E7" w:rsidR="00EF7D9E" w:rsidRPr="00AD5BC0" w:rsidRDefault="00EF7D9E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D5BC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Gerência Executiva de Governança, responsável pela </w:t>
      </w:r>
      <w:r w:rsidR="001324A1" w:rsidRPr="00AD5BC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referida Política, </w:t>
      </w:r>
      <w:r w:rsidRPr="00AD5BC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>atua no assessoramento aos órgãos estatutários, visando promover o funcionamento institucional, manter a padronização da gestão, além de promover a disseminação das decisões e resoluções dos órgãos colegiados, assegurando transparência e prestação de contas às partes interessadas.</w:t>
      </w:r>
    </w:p>
    <w:p w14:paraId="0CD89369" w14:textId="54EA5E24" w:rsidR="001324A1" w:rsidRPr="00AD5BC0" w:rsidRDefault="001324A1" w:rsidP="00AD5BC0">
      <w:pPr>
        <w:jc w:val="both"/>
        <w:rPr>
          <w:rFonts w:ascii="Garamond" w:eastAsia="Times New Roman" w:hAnsi="Garamond" w:cs="Arial"/>
          <w:color w:val="002060"/>
          <w:sz w:val="24"/>
          <w:szCs w:val="24"/>
          <w:lang w:eastAsia="pt-BR"/>
        </w:rPr>
      </w:pPr>
      <w:r w:rsidRPr="00AD5BC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t xml:space="preserve">A última avaliação do IG-SEST, índice de governança das empresas estatais federais, elaborado pela Secretaria de Coordenação e Governança das Empresas Estatais (SEST) do </w:t>
      </w:r>
      <w:r w:rsidRPr="00AD5BC0">
        <w:rPr>
          <w:rFonts w:ascii="Garamond" w:eastAsia="Times New Roman" w:hAnsi="Garamond" w:cs="Arial"/>
          <w:color w:val="002060"/>
          <w:sz w:val="24"/>
          <w:szCs w:val="24"/>
          <w:lang w:eastAsia="pt-BR"/>
        </w:rPr>
        <w:lastRenderedPageBreak/>
        <w:t xml:space="preserve">Ministério da Economia, foi efetuada em 2022. Naquela oportunidade, a ABGF atingiu o índice 8,14, ou seja, foram cumpridos mais de 80% dos itens avaliados pelo indicador. Houve melhoria em relação ao ano anterior, quando a ABGF alcançou o índice de 7,46. A ABGF entende que sempre há oportunidades de melhoria, de forma que continua trabalhando para melhorar seu índice nos próximos ciclos de avaliação. </w:t>
      </w:r>
    </w:p>
    <w:p w14:paraId="7F681263" w14:textId="1DA11FED" w:rsidR="00537D04" w:rsidRPr="00FE57FC" w:rsidRDefault="00537D04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  <w:r>
        <w:rPr>
          <w:rFonts w:ascii="Garamond" w:hAnsi="Garamond" w:cs="Arial"/>
          <w:b/>
          <w:color w:val="002060"/>
          <w:sz w:val="24"/>
          <w:szCs w:val="24"/>
        </w:rPr>
        <w:t>6</w:t>
      </w:r>
      <w:r w:rsidRPr="00FE57FC">
        <w:rPr>
          <w:rFonts w:ascii="Garamond" w:hAnsi="Garamond" w:cs="Arial"/>
          <w:b/>
          <w:color w:val="002060"/>
          <w:sz w:val="24"/>
          <w:szCs w:val="24"/>
        </w:rPr>
        <w:t xml:space="preserve">. </w:t>
      </w:r>
      <w:r>
        <w:rPr>
          <w:rFonts w:ascii="Garamond" w:hAnsi="Garamond" w:cs="Arial"/>
          <w:b/>
          <w:color w:val="002060"/>
          <w:sz w:val="24"/>
          <w:szCs w:val="24"/>
        </w:rPr>
        <w:t xml:space="preserve">COMPOSIÇÃO E </w:t>
      </w:r>
      <w:r w:rsidRPr="00FE57FC">
        <w:rPr>
          <w:rFonts w:ascii="Garamond" w:hAnsi="Garamond" w:cs="Arial"/>
          <w:b/>
          <w:color w:val="002060"/>
          <w:sz w:val="24"/>
          <w:szCs w:val="24"/>
        </w:rPr>
        <w:t>REMUNERAÇÃO</w:t>
      </w:r>
      <w:r>
        <w:rPr>
          <w:rFonts w:ascii="Garamond" w:hAnsi="Garamond" w:cs="Arial"/>
          <w:b/>
          <w:color w:val="002060"/>
          <w:sz w:val="24"/>
          <w:szCs w:val="24"/>
        </w:rPr>
        <w:t xml:space="preserve"> DA AMINISTRAÇÃO</w:t>
      </w:r>
    </w:p>
    <w:p w14:paraId="08B6E060" w14:textId="77777777" w:rsidR="00D65DC2" w:rsidRDefault="00D65DC2" w:rsidP="00AD5BC0">
      <w:pPr>
        <w:pStyle w:val="xmsonormal"/>
        <w:shd w:val="clear" w:color="auto" w:fill="FFFFFF"/>
        <w:spacing w:after="200" w:line="276" w:lineRule="auto"/>
        <w:jc w:val="both"/>
        <w:rPr>
          <w:color w:val="000000"/>
        </w:rPr>
      </w:pPr>
      <w:r>
        <w:rPr>
          <w:rStyle w:val="contentpasted0"/>
          <w:rFonts w:ascii="Garamond" w:hAnsi="Garamond"/>
          <w:color w:val="002060"/>
          <w:sz w:val="24"/>
          <w:szCs w:val="24"/>
        </w:rPr>
        <w:t>Conforme previsto no art. 29 do Estatuto Social da ABGF, a remuneração e demais benefícios dos membros estatutários e, quando aplicável, dos demais comitês de assessoramento, é fixada anualmente pela Assembleia Geral Ordinária, observada a legislação vigente. Os valores referentes à remuneração da Diretoria Executiva são definidos pela Secretaria de Coordenação e Governança das Empresas Estatais do Ministério da Economia e acatados pela empresa. A remuneração total engloba remuneração fixa e benefícios.</w:t>
      </w:r>
    </w:p>
    <w:p w14:paraId="6ACA82F0" w14:textId="77777777" w:rsidR="00D65DC2" w:rsidRDefault="00D65DC2" w:rsidP="00AD5BC0">
      <w:pPr>
        <w:pStyle w:val="xmsonormal"/>
        <w:shd w:val="clear" w:color="auto" w:fill="FFFFFF"/>
        <w:spacing w:after="200" w:line="276" w:lineRule="auto"/>
        <w:jc w:val="both"/>
        <w:rPr>
          <w:color w:val="000000"/>
        </w:rPr>
      </w:pPr>
      <w:r>
        <w:rPr>
          <w:rStyle w:val="contentpasted0"/>
          <w:rFonts w:ascii="Garamond" w:hAnsi="Garamond"/>
          <w:color w:val="002060"/>
          <w:sz w:val="24"/>
          <w:szCs w:val="24"/>
        </w:rPr>
        <w:t>A SEST fixou, ainda, a remuneração mensal dos conselheiros em 10% (dez por cento) da remuneração anual média atribuída a cada diretor, incluindo 1/12 (hum doze avos) de gratificação natalina, dividida pelo fator 12 (doze), garantindo pagamentos iguais em todos os meses do exercício.</w:t>
      </w:r>
    </w:p>
    <w:p w14:paraId="760E16A3" w14:textId="68AD531B" w:rsidR="00D65DC2" w:rsidRPr="00D65DC2" w:rsidRDefault="00D65DC2" w:rsidP="00AD5BC0">
      <w:pPr>
        <w:pStyle w:val="xmsonormal"/>
        <w:shd w:val="clear" w:color="auto" w:fill="FFFFFF"/>
        <w:spacing w:after="200" w:line="276" w:lineRule="auto"/>
        <w:jc w:val="both"/>
        <w:rPr>
          <w:rStyle w:val="contentpasted0"/>
          <w:rFonts w:ascii="Garamond" w:hAnsi="Garamond"/>
          <w:color w:val="002060"/>
          <w:sz w:val="24"/>
          <w:szCs w:val="24"/>
        </w:rPr>
      </w:pPr>
      <w:r w:rsidRPr="00D65DC2">
        <w:rPr>
          <w:rStyle w:val="contentpasted0"/>
          <w:rFonts w:ascii="Garamond" w:hAnsi="Garamond"/>
          <w:color w:val="002060"/>
          <w:sz w:val="24"/>
          <w:szCs w:val="24"/>
        </w:rPr>
        <w:t xml:space="preserve">A remuneração global aprovada pela Assembleia Geral de Acionistas para os membros estatutários da ABGF para o período abril/2022 a março/2023 foi de R$ 3.305.593,63. </w:t>
      </w:r>
      <w:r>
        <w:rPr>
          <w:rStyle w:val="contentpasted0"/>
          <w:rFonts w:ascii="Garamond" w:hAnsi="Garamond"/>
          <w:color w:val="002060"/>
          <w:sz w:val="24"/>
          <w:szCs w:val="24"/>
        </w:rPr>
        <w:t xml:space="preserve">Importante informar que a ABGF não possui </w:t>
      </w:r>
      <w:r w:rsidR="006A50A6">
        <w:rPr>
          <w:rStyle w:val="contentpasted0"/>
          <w:rFonts w:ascii="Garamond" w:hAnsi="Garamond"/>
          <w:color w:val="002060"/>
          <w:sz w:val="24"/>
          <w:szCs w:val="24"/>
        </w:rPr>
        <w:t>Remuneração Variável Anual (</w:t>
      </w:r>
      <w:r>
        <w:rPr>
          <w:rStyle w:val="contentpasted0"/>
          <w:rFonts w:ascii="Garamond" w:hAnsi="Garamond"/>
          <w:color w:val="002060"/>
          <w:sz w:val="24"/>
          <w:szCs w:val="24"/>
        </w:rPr>
        <w:t>RVA</w:t>
      </w:r>
      <w:r w:rsidR="006A50A6">
        <w:rPr>
          <w:rStyle w:val="contentpasted0"/>
          <w:rFonts w:ascii="Garamond" w:hAnsi="Garamond"/>
          <w:color w:val="002060"/>
          <w:sz w:val="24"/>
          <w:szCs w:val="24"/>
        </w:rPr>
        <w:t>)</w:t>
      </w:r>
      <w:r>
        <w:rPr>
          <w:rStyle w:val="contentpasted0"/>
          <w:rFonts w:ascii="Garamond" w:hAnsi="Garamond"/>
          <w:color w:val="002060"/>
          <w:sz w:val="24"/>
          <w:szCs w:val="24"/>
        </w:rPr>
        <w:t xml:space="preserve"> aprovad</w:t>
      </w:r>
      <w:r w:rsidR="006A50A6">
        <w:rPr>
          <w:rStyle w:val="contentpasted0"/>
          <w:rFonts w:ascii="Garamond" w:hAnsi="Garamond"/>
          <w:color w:val="002060"/>
          <w:sz w:val="24"/>
          <w:szCs w:val="24"/>
        </w:rPr>
        <w:t>a</w:t>
      </w:r>
      <w:r>
        <w:rPr>
          <w:rStyle w:val="contentpasted0"/>
          <w:rFonts w:ascii="Garamond" w:hAnsi="Garamond"/>
          <w:color w:val="002060"/>
          <w:sz w:val="24"/>
          <w:szCs w:val="24"/>
        </w:rPr>
        <w:t xml:space="preserve">, uma vez que, com a inclusão no PND, não existem indicadores de negócio no planejamento estratégico ciclo 2022-2026 para basear </w:t>
      </w:r>
      <w:r w:rsidRPr="00D65DC2">
        <w:rPr>
          <w:rStyle w:val="contentpasted0"/>
          <w:rFonts w:ascii="Garamond" w:hAnsi="Garamond"/>
          <w:color w:val="002060"/>
          <w:sz w:val="24"/>
          <w:szCs w:val="24"/>
        </w:rPr>
        <w:t>uma proposta que atenda as orientações da SEST.</w:t>
      </w:r>
    </w:p>
    <w:p w14:paraId="15876952" w14:textId="48941F22" w:rsidR="00D65DC2" w:rsidRDefault="00D65DC2" w:rsidP="00AD5BC0">
      <w:pPr>
        <w:pStyle w:val="xmsonormal"/>
        <w:shd w:val="clear" w:color="auto" w:fill="FFFFFF"/>
        <w:spacing w:after="200" w:line="276" w:lineRule="auto"/>
        <w:jc w:val="both"/>
        <w:rPr>
          <w:color w:val="000000"/>
        </w:rPr>
      </w:pPr>
      <w:r w:rsidRPr="00D65DC2">
        <w:rPr>
          <w:rStyle w:val="contentpasted0"/>
          <w:rFonts w:ascii="Garamond" w:hAnsi="Garamond"/>
          <w:color w:val="002060"/>
          <w:sz w:val="24"/>
          <w:szCs w:val="24"/>
        </w:rPr>
        <w:t>A remuneração e benefícios dos membros estatutários estão divulgados</w:t>
      </w:r>
      <w:r w:rsidR="00EF7D9E">
        <w:rPr>
          <w:rStyle w:val="contentpasted0"/>
          <w:rFonts w:ascii="Garamond" w:hAnsi="Garamond"/>
          <w:color w:val="002060"/>
          <w:sz w:val="24"/>
          <w:szCs w:val="24"/>
        </w:rPr>
        <w:t xml:space="preserve">, de forma detalhada e individual, </w:t>
      </w:r>
      <w:r w:rsidRPr="00D65DC2">
        <w:rPr>
          <w:rStyle w:val="contentpasted0"/>
          <w:rFonts w:ascii="Garamond" w:hAnsi="Garamond"/>
          <w:color w:val="002060"/>
          <w:sz w:val="24"/>
          <w:szCs w:val="24"/>
        </w:rPr>
        <w:t>no sítio eletrônico da ABGF no seguinte endereço:</w:t>
      </w:r>
      <w:r w:rsidRPr="001324A1">
        <w:rPr>
          <w:rStyle w:val="contentpasted0"/>
          <w:rFonts w:ascii="Garamond" w:hAnsi="Garamond"/>
          <w:color w:val="002060"/>
          <w:sz w:val="24"/>
          <w:szCs w:val="24"/>
        </w:rPr>
        <w:t> </w:t>
      </w:r>
      <w:hyperlink r:id="rId18" w:history="1">
        <w:r>
          <w:rPr>
            <w:rStyle w:val="Hyperlink"/>
            <w:rFonts w:ascii="Garamond" w:hAnsi="Garamond"/>
            <w:sz w:val="24"/>
            <w:szCs w:val="24"/>
          </w:rPr>
          <w:t>https://www.abgf.gov.br/acesso-informacao/servidores/</w:t>
        </w:r>
      </w:hyperlink>
      <w:r w:rsidR="00EF7D9E">
        <w:rPr>
          <w:rStyle w:val="contentpasted0"/>
          <w:rFonts w:ascii="Garamond" w:hAnsi="Garamond"/>
          <w:color w:val="ED5C57"/>
          <w:sz w:val="24"/>
          <w:szCs w:val="24"/>
        </w:rPr>
        <w:t xml:space="preserve">. </w:t>
      </w:r>
    </w:p>
    <w:p w14:paraId="6F21D151" w14:textId="77777777" w:rsidR="00537D04" w:rsidRDefault="00537D04" w:rsidP="00AD5BC0">
      <w:pPr>
        <w:jc w:val="both"/>
        <w:rPr>
          <w:rFonts w:ascii="Garamond" w:hAnsi="Garamond" w:cs="Arial"/>
          <w:b/>
          <w:color w:val="002060"/>
          <w:sz w:val="24"/>
          <w:szCs w:val="24"/>
        </w:rPr>
      </w:pPr>
    </w:p>
    <w:sectPr w:rsidR="00537D04" w:rsidSect="000176A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0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DE2DD" w14:textId="77777777" w:rsidR="002D1A82" w:rsidRDefault="002D1A82" w:rsidP="003A5CC8">
      <w:pPr>
        <w:spacing w:after="0" w:line="240" w:lineRule="auto"/>
      </w:pPr>
      <w:r>
        <w:separator/>
      </w:r>
    </w:p>
  </w:endnote>
  <w:endnote w:type="continuationSeparator" w:id="0">
    <w:p w14:paraId="47A42E8A" w14:textId="77777777" w:rsidR="002D1A82" w:rsidRDefault="002D1A82" w:rsidP="003A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egrito">
    <w:panose1 w:val="020B07040202020202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lavika-Bold">
    <w:altName w:val="MS Gothic"/>
    <w:charset w:val="80"/>
    <w:family w:val="swiss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5A031" w14:textId="77777777" w:rsidR="004A38D3" w:rsidRDefault="004A38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915880"/>
      <w:docPartObj>
        <w:docPartGallery w:val="Page Numbers (Bottom of Page)"/>
        <w:docPartUnique/>
      </w:docPartObj>
    </w:sdtPr>
    <w:sdtEndPr>
      <w:rPr>
        <w:rFonts w:ascii="Garamond" w:hAnsi="Garamond"/>
        <w:color w:val="002060"/>
      </w:rPr>
    </w:sdtEndPr>
    <w:sdtContent>
      <w:p w14:paraId="5C1C0798" w14:textId="77777777" w:rsidR="00B22C4D" w:rsidRPr="00FE57FC" w:rsidRDefault="00B22C4D">
        <w:pPr>
          <w:pStyle w:val="Rodap"/>
          <w:jc w:val="right"/>
          <w:rPr>
            <w:rFonts w:ascii="Garamond" w:hAnsi="Garamond"/>
            <w:color w:val="002060"/>
          </w:rPr>
        </w:pPr>
        <w:r w:rsidRPr="00FE57FC">
          <w:rPr>
            <w:rFonts w:ascii="Garamond" w:hAnsi="Garamond"/>
            <w:noProof/>
            <w:color w:val="002060"/>
          </w:rPr>
          <w:fldChar w:fldCharType="begin"/>
        </w:r>
        <w:r w:rsidRPr="00FE57FC">
          <w:rPr>
            <w:rFonts w:ascii="Garamond" w:hAnsi="Garamond"/>
            <w:noProof/>
            <w:color w:val="002060"/>
          </w:rPr>
          <w:instrText xml:space="preserve"> PAGE   \* MERGEFORMAT </w:instrText>
        </w:r>
        <w:r w:rsidRPr="00FE57FC">
          <w:rPr>
            <w:rFonts w:ascii="Garamond" w:hAnsi="Garamond"/>
            <w:noProof/>
            <w:color w:val="002060"/>
          </w:rPr>
          <w:fldChar w:fldCharType="separate"/>
        </w:r>
        <w:r w:rsidR="00C80E2E">
          <w:rPr>
            <w:rFonts w:ascii="Garamond" w:hAnsi="Garamond"/>
            <w:noProof/>
            <w:color w:val="002060"/>
          </w:rPr>
          <w:t>11</w:t>
        </w:r>
        <w:r w:rsidRPr="00FE57FC">
          <w:rPr>
            <w:rFonts w:ascii="Garamond" w:hAnsi="Garamond"/>
            <w:noProof/>
            <w:color w:val="002060"/>
          </w:rPr>
          <w:fldChar w:fldCharType="end"/>
        </w:r>
      </w:p>
    </w:sdtContent>
  </w:sdt>
  <w:p w14:paraId="3A5C4862" w14:textId="77777777" w:rsidR="00B22C4D" w:rsidRDefault="00B22C4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7A850" w14:textId="77777777" w:rsidR="004A38D3" w:rsidRDefault="004A38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26E89" w14:textId="77777777" w:rsidR="002D1A82" w:rsidRDefault="002D1A82" w:rsidP="003A5CC8">
      <w:pPr>
        <w:spacing w:after="0" w:line="240" w:lineRule="auto"/>
      </w:pPr>
      <w:r>
        <w:separator/>
      </w:r>
    </w:p>
  </w:footnote>
  <w:footnote w:type="continuationSeparator" w:id="0">
    <w:p w14:paraId="0480954F" w14:textId="77777777" w:rsidR="002D1A82" w:rsidRDefault="002D1A82" w:rsidP="003A5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3CCDD7" w14:textId="77777777" w:rsidR="004A38D3" w:rsidRDefault="004A38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89605" w14:textId="77777777" w:rsidR="00B22C4D" w:rsidRDefault="00B22C4D">
    <w:pPr>
      <w:pStyle w:val="Cabealho"/>
    </w:pPr>
  </w:p>
  <w:p w14:paraId="22E02824" w14:textId="77777777" w:rsidR="00B22C4D" w:rsidRDefault="00B22C4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DA2BC" w14:textId="77777777" w:rsidR="004A38D3" w:rsidRDefault="004A38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4C5B"/>
    <w:multiLevelType w:val="hybridMultilevel"/>
    <w:tmpl w:val="249E4388"/>
    <w:lvl w:ilvl="0" w:tplc="98B60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C6883"/>
    <w:multiLevelType w:val="hybridMultilevel"/>
    <w:tmpl w:val="6B7031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80B03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6E14F3E"/>
    <w:multiLevelType w:val="hybridMultilevel"/>
    <w:tmpl w:val="1E7CE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AD4190"/>
    <w:multiLevelType w:val="hybridMultilevel"/>
    <w:tmpl w:val="08527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27C31"/>
    <w:multiLevelType w:val="hybridMultilevel"/>
    <w:tmpl w:val="968AC3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45E8D"/>
    <w:multiLevelType w:val="hybridMultilevel"/>
    <w:tmpl w:val="40D808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C724B"/>
    <w:multiLevelType w:val="multilevel"/>
    <w:tmpl w:val="041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22A3C14"/>
    <w:multiLevelType w:val="hybridMultilevel"/>
    <w:tmpl w:val="EA928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41C80"/>
    <w:multiLevelType w:val="hybridMultilevel"/>
    <w:tmpl w:val="ECF87C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C2C"/>
    <w:rsid w:val="00015C09"/>
    <w:rsid w:val="000176A5"/>
    <w:rsid w:val="00017EBF"/>
    <w:rsid w:val="0002230A"/>
    <w:rsid w:val="000231F1"/>
    <w:rsid w:val="000341A2"/>
    <w:rsid w:val="00035084"/>
    <w:rsid w:val="00035591"/>
    <w:rsid w:val="00046E95"/>
    <w:rsid w:val="00053FE3"/>
    <w:rsid w:val="000545DD"/>
    <w:rsid w:val="00065537"/>
    <w:rsid w:val="00075016"/>
    <w:rsid w:val="00076BEF"/>
    <w:rsid w:val="000850DE"/>
    <w:rsid w:val="000868DA"/>
    <w:rsid w:val="000917C7"/>
    <w:rsid w:val="000A24EC"/>
    <w:rsid w:val="000B4976"/>
    <w:rsid w:val="000B4A36"/>
    <w:rsid w:val="000C2621"/>
    <w:rsid w:val="000D5DCB"/>
    <w:rsid w:val="000E4A55"/>
    <w:rsid w:val="000E5ECF"/>
    <w:rsid w:val="000F1526"/>
    <w:rsid w:val="0010479F"/>
    <w:rsid w:val="00106330"/>
    <w:rsid w:val="00106F2F"/>
    <w:rsid w:val="00116BA1"/>
    <w:rsid w:val="00124422"/>
    <w:rsid w:val="00131C20"/>
    <w:rsid w:val="001324A1"/>
    <w:rsid w:val="00133F7E"/>
    <w:rsid w:val="0013458E"/>
    <w:rsid w:val="001351F4"/>
    <w:rsid w:val="00135464"/>
    <w:rsid w:val="00155D13"/>
    <w:rsid w:val="00160388"/>
    <w:rsid w:val="00177DFF"/>
    <w:rsid w:val="00182BDE"/>
    <w:rsid w:val="00187FC6"/>
    <w:rsid w:val="00197F2B"/>
    <w:rsid w:val="001A450A"/>
    <w:rsid w:val="001A5425"/>
    <w:rsid w:val="001A7762"/>
    <w:rsid w:val="001C73BA"/>
    <w:rsid w:val="001D59AC"/>
    <w:rsid w:val="001D6C7A"/>
    <w:rsid w:val="001E1A4E"/>
    <w:rsid w:val="001E760B"/>
    <w:rsid w:val="001F7B11"/>
    <w:rsid w:val="001F7DE9"/>
    <w:rsid w:val="0020675F"/>
    <w:rsid w:val="00207DCD"/>
    <w:rsid w:val="002102A8"/>
    <w:rsid w:val="002118B7"/>
    <w:rsid w:val="0021314D"/>
    <w:rsid w:val="00214AAE"/>
    <w:rsid w:val="00226BAC"/>
    <w:rsid w:val="00232307"/>
    <w:rsid w:val="00240D79"/>
    <w:rsid w:val="00242E7C"/>
    <w:rsid w:val="00243DD0"/>
    <w:rsid w:val="00243E42"/>
    <w:rsid w:val="002505E4"/>
    <w:rsid w:val="002539EA"/>
    <w:rsid w:val="00256288"/>
    <w:rsid w:val="00257978"/>
    <w:rsid w:val="00260C86"/>
    <w:rsid w:val="0026202C"/>
    <w:rsid w:val="002710DB"/>
    <w:rsid w:val="00274770"/>
    <w:rsid w:val="00287659"/>
    <w:rsid w:val="00290157"/>
    <w:rsid w:val="00291FF1"/>
    <w:rsid w:val="00293FF1"/>
    <w:rsid w:val="00294842"/>
    <w:rsid w:val="002D1A82"/>
    <w:rsid w:val="002D32B7"/>
    <w:rsid w:val="002D6B9A"/>
    <w:rsid w:val="002E582C"/>
    <w:rsid w:val="002F1A91"/>
    <w:rsid w:val="002F5B06"/>
    <w:rsid w:val="003048E2"/>
    <w:rsid w:val="00305532"/>
    <w:rsid w:val="00311950"/>
    <w:rsid w:val="00313064"/>
    <w:rsid w:val="00314EC4"/>
    <w:rsid w:val="003202A7"/>
    <w:rsid w:val="00324691"/>
    <w:rsid w:val="003322BC"/>
    <w:rsid w:val="003352AB"/>
    <w:rsid w:val="0034536B"/>
    <w:rsid w:val="003507F1"/>
    <w:rsid w:val="00354E6E"/>
    <w:rsid w:val="00364D3D"/>
    <w:rsid w:val="00367B91"/>
    <w:rsid w:val="003706EE"/>
    <w:rsid w:val="00373EBB"/>
    <w:rsid w:val="00381667"/>
    <w:rsid w:val="00382439"/>
    <w:rsid w:val="00393910"/>
    <w:rsid w:val="003A3E95"/>
    <w:rsid w:val="003A5510"/>
    <w:rsid w:val="003A5CC8"/>
    <w:rsid w:val="003B118B"/>
    <w:rsid w:val="003C273F"/>
    <w:rsid w:val="003C3DC3"/>
    <w:rsid w:val="003C6229"/>
    <w:rsid w:val="003C7024"/>
    <w:rsid w:val="003D1FD8"/>
    <w:rsid w:val="003D6603"/>
    <w:rsid w:val="003F68F9"/>
    <w:rsid w:val="003F737A"/>
    <w:rsid w:val="00400ABD"/>
    <w:rsid w:val="0041142A"/>
    <w:rsid w:val="0041246D"/>
    <w:rsid w:val="00415BDA"/>
    <w:rsid w:val="00415DBD"/>
    <w:rsid w:val="00422954"/>
    <w:rsid w:val="004301D7"/>
    <w:rsid w:val="00431BA4"/>
    <w:rsid w:val="00436A79"/>
    <w:rsid w:val="004425AF"/>
    <w:rsid w:val="00445245"/>
    <w:rsid w:val="0044567F"/>
    <w:rsid w:val="0044582A"/>
    <w:rsid w:val="00456746"/>
    <w:rsid w:val="00462579"/>
    <w:rsid w:val="00462610"/>
    <w:rsid w:val="00470491"/>
    <w:rsid w:val="00473316"/>
    <w:rsid w:val="0047725D"/>
    <w:rsid w:val="00482584"/>
    <w:rsid w:val="00486F57"/>
    <w:rsid w:val="0049458C"/>
    <w:rsid w:val="00496B1E"/>
    <w:rsid w:val="00496CF9"/>
    <w:rsid w:val="00497018"/>
    <w:rsid w:val="004A03CB"/>
    <w:rsid w:val="004A38D3"/>
    <w:rsid w:val="004A704D"/>
    <w:rsid w:val="004B1E9D"/>
    <w:rsid w:val="004B727F"/>
    <w:rsid w:val="004C3B9A"/>
    <w:rsid w:val="004C5E95"/>
    <w:rsid w:val="004C785B"/>
    <w:rsid w:val="004D041E"/>
    <w:rsid w:val="004D13E5"/>
    <w:rsid w:val="004D3268"/>
    <w:rsid w:val="004F7EB8"/>
    <w:rsid w:val="00507CE3"/>
    <w:rsid w:val="00517AAD"/>
    <w:rsid w:val="00520872"/>
    <w:rsid w:val="00526331"/>
    <w:rsid w:val="00532C8F"/>
    <w:rsid w:val="00537D04"/>
    <w:rsid w:val="00544771"/>
    <w:rsid w:val="00545798"/>
    <w:rsid w:val="005468F2"/>
    <w:rsid w:val="00560D8D"/>
    <w:rsid w:val="00560ED4"/>
    <w:rsid w:val="005807B9"/>
    <w:rsid w:val="00582E3B"/>
    <w:rsid w:val="00584B7A"/>
    <w:rsid w:val="0059067E"/>
    <w:rsid w:val="00597B68"/>
    <w:rsid w:val="005A78FB"/>
    <w:rsid w:val="005B1954"/>
    <w:rsid w:val="005B27EF"/>
    <w:rsid w:val="005B4FF1"/>
    <w:rsid w:val="005C6729"/>
    <w:rsid w:val="005D4091"/>
    <w:rsid w:val="005E25C2"/>
    <w:rsid w:val="005E3705"/>
    <w:rsid w:val="005E659D"/>
    <w:rsid w:val="005F65E5"/>
    <w:rsid w:val="006147A5"/>
    <w:rsid w:val="0061677E"/>
    <w:rsid w:val="00616851"/>
    <w:rsid w:val="00621601"/>
    <w:rsid w:val="006268EB"/>
    <w:rsid w:val="00635771"/>
    <w:rsid w:val="0064229D"/>
    <w:rsid w:val="00645824"/>
    <w:rsid w:val="006472BB"/>
    <w:rsid w:val="0065096B"/>
    <w:rsid w:val="00651551"/>
    <w:rsid w:val="0065333D"/>
    <w:rsid w:val="00662CCF"/>
    <w:rsid w:val="006656B3"/>
    <w:rsid w:val="006800D6"/>
    <w:rsid w:val="00683D92"/>
    <w:rsid w:val="0069727B"/>
    <w:rsid w:val="006A2280"/>
    <w:rsid w:val="006A50A6"/>
    <w:rsid w:val="006B29F8"/>
    <w:rsid w:val="006B74D5"/>
    <w:rsid w:val="006E03C0"/>
    <w:rsid w:val="006E1560"/>
    <w:rsid w:val="006E5287"/>
    <w:rsid w:val="006E529B"/>
    <w:rsid w:val="006E7818"/>
    <w:rsid w:val="006F2855"/>
    <w:rsid w:val="007011B4"/>
    <w:rsid w:val="0070589B"/>
    <w:rsid w:val="00711F7A"/>
    <w:rsid w:val="00734B25"/>
    <w:rsid w:val="0073550B"/>
    <w:rsid w:val="007449A0"/>
    <w:rsid w:val="00745B8D"/>
    <w:rsid w:val="00751D1E"/>
    <w:rsid w:val="00751FEF"/>
    <w:rsid w:val="0075598B"/>
    <w:rsid w:val="00762444"/>
    <w:rsid w:val="007743BC"/>
    <w:rsid w:val="00781893"/>
    <w:rsid w:val="00787DF6"/>
    <w:rsid w:val="007A4D10"/>
    <w:rsid w:val="007A50B5"/>
    <w:rsid w:val="007C35C6"/>
    <w:rsid w:val="007C594A"/>
    <w:rsid w:val="007C5C6D"/>
    <w:rsid w:val="007C66BC"/>
    <w:rsid w:val="007E2C4F"/>
    <w:rsid w:val="007E5578"/>
    <w:rsid w:val="007E59CF"/>
    <w:rsid w:val="007F45DF"/>
    <w:rsid w:val="007F535A"/>
    <w:rsid w:val="007F625E"/>
    <w:rsid w:val="00811BEA"/>
    <w:rsid w:val="008128A7"/>
    <w:rsid w:val="00815010"/>
    <w:rsid w:val="00820E67"/>
    <w:rsid w:val="0084711E"/>
    <w:rsid w:val="00852714"/>
    <w:rsid w:val="00857ADF"/>
    <w:rsid w:val="00863419"/>
    <w:rsid w:val="00866EBF"/>
    <w:rsid w:val="0086734D"/>
    <w:rsid w:val="00881A21"/>
    <w:rsid w:val="0088278D"/>
    <w:rsid w:val="00891C9D"/>
    <w:rsid w:val="00895827"/>
    <w:rsid w:val="00895D68"/>
    <w:rsid w:val="008A718A"/>
    <w:rsid w:val="008B3BF8"/>
    <w:rsid w:val="008B60E3"/>
    <w:rsid w:val="008B6716"/>
    <w:rsid w:val="008C0345"/>
    <w:rsid w:val="008C3297"/>
    <w:rsid w:val="008C4EC7"/>
    <w:rsid w:val="008C79F2"/>
    <w:rsid w:val="008D0233"/>
    <w:rsid w:val="008D463D"/>
    <w:rsid w:val="008E2224"/>
    <w:rsid w:val="008E6DA2"/>
    <w:rsid w:val="0090080E"/>
    <w:rsid w:val="00903A77"/>
    <w:rsid w:val="00913A0E"/>
    <w:rsid w:val="00915A0B"/>
    <w:rsid w:val="00915E75"/>
    <w:rsid w:val="009239B4"/>
    <w:rsid w:val="0092431C"/>
    <w:rsid w:val="00925825"/>
    <w:rsid w:val="00927C27"/>
    <w:rsid w:val="0093051C"/>
    <w:rsid w:val="0093305B"/>
    <w:rsid w:val="00933674"/>
    <w:rsid w:val="0093497F"/>
    <w:rsid w:val="00952C2C"/>
    <w:rsid w:val="00962901"/>
    <w:rsid w:val="00964C96"/>
    <w:rsid w:val="00973B57"/>
    <w:rsid w:val="00982C65"/>
    <w:rsid w:val="00983624"/>
    <w:rsid w:val="00984410"/>
    <w:rsid w:val="009919A7"/>
    <w:rsid w:val="00992F85"/>
    <w:rsid w:val="009A1AAD"/>
    <w:rsid w:val="009A1CE7"/>
    <w:rsid w:val="009A3BAD"/>
    <w:rsid w:val="009D52C0"/>
    <w:rsid w:val="009F33F1"/>
    <w:rsid w:val="009F6C20"/>
    <w:rsid w:val="009F6F06"/>
    <w:rsid w:val="00A0330E"/>
    <w:rsid w:val="00A07AB3"/>
    <w:rsid w:val="00A154BB"/>
    <w:rsid w:val="00A23546"/>
    <w:rsid w:val="00A246F5"/>
    <w:rsid w:val="00A31ADD"/>
    <w:rsid w:val="00A508CC"/>
    <w:rsid w:val="00A53FFD"/>
    <w:rsid w:val="00A70777"/>
    <w:rsid w:val="00A749D7"/>
    <w:rsid w:val="00A76148"/>
    <w:rsid w:val="00A768BA"/>
    <w:rsid w:val="00A8084D"/>
    <w:rsid w:val="00A968D4"/>
    <w:rsid w:val="00A97246"/>
    <w:rsid w:val="00AA41C3"/>
    <w:rsid w:val="00AA74E6"/>
    <w:rsid w:val="00AB6ACD"/>
    <w:rsid w:val="00AC25A9"/>
    <w:rsid w:val="00AC776D"/>
    <w:rsid w:val="00AD579C"/>
    <w:rsid w:val="00AD5BC0"/>
    <w:rsid w:val="00AD733C"/>
    <w:rsid w:val="00AE09DF"/>
    <w:rsid w:val="00AE2800"/>
    <w:rsid w:val="00B136C4"/>
    <w:rsid w:val="00B17C52"/>
    <w:rsid w:val="00B22540"/>
    <w:rsid w:val="00B22C4D"/>
    <w:rsid w:val="00B23F8F"/>
    <w:rsid w:val="00B24906"/>
    <w:rsid w:val="00B257AC"/>
    <w:rsid w:val="00B2659D"/>
    <w:rsid w:val="00B4323D"/>
    <w:rsid w:val="00B438E1"/>
    <w:rsid w:val="00B5011F"/>
    <w:rsid w:val="00B504A5"/>
    <w:rsid w:val="00B50E20"/>
    <w:rsid w:val="00B56ED9"/>
    <w:rsid w:val="00B838BE"/>
    <w:rsid w:val="00B862E6"/>
    <w:rsid w:val="00B92C2C"/>
    <w:rsid w:val="00B97267"/>
    <w:rsid w:val="00BA70A7"/>
    <w:rsid w:val="00BB3ECC"/>
    <w:rsid w:val="00BC7A08"/>
    <w:rsid w:val="00BD3A1C"/>
    <w:rsid w:val="00BE13AD"/>
    <w:rsid w:val="00BF2110"/>
    <w:rsid w:val="00C01CF8"/>
    <w:rsid w:val="00C132DD"/>
    <w:rsid w:val="00C13FD9"/>
    <w:rsid w:val="00C419E7"/>
    <w:rsid w:val="00C5074C"/>
    <w:rsid w:val="00C51826"/>
    <w:rsid w:val="00C660CB"/>
    <w:rsid w:val="00C666CF"/>
    <w:rsid w:val="00C6684C"/>
    <w:rsid w:val="00C72463"/>
    <w:rsid w:val="00C80E2E"/>
    <w:rsid w:val="00C826F3"/>
    <w:rsid w:val="00C94D3A"/>
    <w:rsid w:val="00C9722C"/>
    <w:rsid w:val="00CA4363"/>
    <w:rsid w:val="00CB44D4"/>
    <w:rsid w:val="00CD14FF"/>
    <w:rsid w:val="00CD626A"/>
    <w:rsid w:val="00CE1562"/>
    <w:rsid w:val="00CE32F2"/>
    <w:rsid w:val="00CE6AD3"/>
    <w:rsid w:val="00CF30A7"/>
    <w:rsid w:val="00D005C6"/>
    <w:rsid w:val="00D00648"/>
    <w:rsid w:val="00D039BD"/>
    <w:rsid w:val="00D07DF5"/>
    <w:rsid w:val="00D12ED2"/>
    <w:rsid w:val="00D266E9"/>
    <w:rsid w:val="00D34093"/>
    <w:rsid w:val="00D423D9"/>
    <w:rsid w:val="00D45F69"/>
    <w:rsid w:val="00D532C0"/>
    <w:rsid w:val="00D57985"/>
    <w:rsid w:val="00D60E15"/>
    <w:rsid w:val="00D65DC2"/>
    <w:rsid w:val="00D703FE"/>
    <w:rsid w:val="00D70E1A"/>
    <w:rsid w:val="00D727C1"/>
    <w:rsid w:val="00D74738"/>
    <w:rsid w:val="00D7736B"/>
    <w:rsid w:val="00D872FD"/>
    <w:rsid w:val="00DA0F18"/>
    <w:rsid w:val="00DA5560"/>
    <w:rsid w:val="00DB1F53"/>
    <w:rsid w:val="00DB74D2"/>
    <w:rsid w:val="00DB7FD9"/>
    <w:rsid w:val="00DC5D98"/>
    <w:rsid w:val="00DD6074"/>
    <w:rsid w:val="00DE2B6A"/>
    <w:rsid w:val="00DE43E0"/>
    <w:rsid w:val="00DE570B"/>
    <w:rsid w:val="00E01A7A"/>
    <w:rsid w:val="00E02989"/>
    <w:rsid w:val="00E0685D"/>
    <w:rsid w:val="00E158D3"/>
    <w:rsid w:val="00E26A1F"/>
    <w:rsid w:val="00E30762"/>
    <w:rsid w:val="00E40F8E"/>
    <w:rsid w:val="00E416DB"/>
    <w:rsid w:val="00E43461"/>
    <w:rsid w:val="00E551B3"/>
    <w:rsid w:val="00E55CE3"/>
    <w:rsid w:val="00E618D8"/>
    <w:rsid w:val="00E64F46"/>
    <w:rsid w:val="00E70D85"/>
    <w:rsid w:val="00E77ED9"/>
    <w:rsid w:val="00E832FB"/>
    <w:rsid w:val="00E91512"/>
    <w:rsid w:val="00E93154"/>
    <w:rsid w:val="00EA2CE3"/>
    <w:rsid w:val="00EC6C52"/>
    <w:rsid w:val="00ED1833"/>
    <w:rsid w:val="00ED5219"/>
    <w:rsid w:val="00EF2B04"/>
    <w:rsid w:val="00EF7D9E"/>
    <w:rsid w:val="00F20193"/>
    <w:rsid w:val="00F25D50"/>
    <w:rsid w:val="00F30517"/>
    <w:rsid w:val="00F46A27"/>
    <w:rsid w:val="00F6142F"/>
    <w:rsid w:val="00F63275"/>
    <w:rsid w:val="00F66BAD"/>
    <w:rsid w:val="00F77EED"/>
    <w:rsid w:val="00F80AAB"/>
    <w:rsid w:val="00F822AB"/>
    <w:rsid w:val="00F97362"/>
    <w:rsid w:val="00FA305E"/>
    <w:rsid w:val="00FB4D1A"/>
    <w:rsid w:val="00FB4DAE"/>
    <w:rsid w:val="00FB6562"/>
    <w:rsid w:val="00FD414D"/>
    <w:rsid w:val="00FE57FC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C5CEE"/>
  <w15:docId w15:val="{762363A0-CDE8-4061-BA18-82A429D14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7D04"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3048E2"/>
    <w:pPr>
      <w:keepNext/>
      <w:keepLines/>
      <w:numPr>
        <w:numId w:val="6"/>
      </w:numPr>
      <w:spacing w:before="480" w:after="240" w:line="230" w:lineRule="auto"/>
      <w:jc w:val="both"/>
      <w:outlineLvl w:val="0"/>
    </w:pPr>
    <w:rPr>
      <w:rFonts w:ascii="Arial Negrito" w:eastAsiaTheme="majorEastAsia" w:hAnsi="Arial Negrito" w:cstheme="majorBidi"/>
      <w:b/>
      <w:bCs/>
      <w:smallCaps/>
      <w:sz w:val="26"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3048E2"/>
    <w:pPr>
      <w:keepNext/>
      <w:keepLines/>
      <w:numPr>
        <w:ilvl w:val="1"/>
        <w:numId w:val="6"/>
      </w:numPr>
      <w:spacing w:before="320" w:after="320" w:line="230" w:lineRule="auto"/>
      <w:jc w:val="both"/>
      <w:outlineLvl w:val="1"/>
    </w:pPr>
    <w:rPr>
      <w:rFonts w:ascii="Arial" w:eastAsiaTheme="majorEastAsia" w:hAnsi="Arial" w:cs="Arial"/>
      <w:b/>
      <w:bCs/>
      <w:smallCaps/>
      <w:sz w:val="24"/>
      <w:szCs w:val="26"/>
    </w:rPr>
  </w:style>
  <w:style w:type="paragraph" w:styleId="Ttulo3">
    <w:name w:val="heading 3"/>
    <w:basedOn w:val="Normal"/>
    <w:next w:val="Normal"/>
    <w:link w:val="Ttulo3Char"/>
    <w:autoRedefine/>
    <w:unhideWhenUsed/>
    <w:qFormat/>
    <w:rsid w:val="003048E2"/>
    <w:pPr>
      <w:keepNext/>
      <w:keepLines/>
      <w:spacing w:before="120"/>
      <w:jc w:val="both"/>
      <w:outlineLvl w:val="2"/>
    </w:pPr>
    <w:rPr>
      <w:rFonts w:ascii="Arial" w:eastAsia="Calibri" w:hAnsi="Arial" w:cs="Arial"/>
      <w:b/>
      <w:color w:val="000000" w:themeColor="text1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048E2"/>
    <w:pPr>
      <w:keepNext/>
      <w:keepLines/>
      <w:numPr>
        <w:ilvl w:val="3"/>
        <w:numId w:val="6"/>
      </w:numPr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048E2"/>
    <w:pPr>
      <w:keepNext/>
      <w:keepLines/>
      <w:numPr>
        <w:ilvl w:val="4"/>
        <w:numId w:val="6"/>
      </w:numPr>
      <w:spacing w:before="200" w:after="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048E2"/>
    <w:pPr>
      <w:keepNext/>
      <w:keepLines/>
      <w:numPr>
        <w:ilvl w:val="5"/>
        <w:numId w:val="6"/>
      </w:numPr>
      <w:spacing w:before="200" w:after="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048E2"/>
    <w:pPr>
      <w:keepNext/>
      <w:keepLines/>
      <w:numPr>
        <w:ilvl w:val="6"/>
        <w:numId w:val="6"/>
      </w:numPr>
      <w:spacing w:before="200" w:after="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048E2"/>
    <w:pPr>
      <w:keepNext/>
      <w:keepLines/>
      <w:numPr>
        <w:ilvl w:val="7"/>
        <w:numId w:val="6"/>
      </w:numPr>
      <w:spacing w:before="200" w:after="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048E2"/>
    <w:pPr>
      <w:keepNext/>
      <w:keepLines/>
      <w:numPr>
        <w:ilvl w:val="8"/>
        <w:numId w:val="6"/>
      </w:numPr>
      <w:spacing w:before="200" w:after="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4F7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00648"/>
    <w:rPr>
      <w:color w:val="0000FF"/>
      <w:u w:val="single"/>
    </w:rPr>
  </w:style>
  <w:style w:type="paragraph" w:styleId="PargrafodaLista">
    <w:name w:val="List Paragraph"/>
    <w:aliases w:val="Lista Paragrafo em Preto"/>
    <w:basedOn w:val="Normal"/>
    <w:link w:val="PargrafodaListaChar"/>
    <w:uiPriority w:val="34"/>
    <w:qFormat/>
    <w:rsid w:val="00046E95"/>
    <w:pPr>
      <w:ind w:left="720"/>
      <w:contextualSpacing/>
    </w:pPr>
  </w:style>
  <w:style w:type="paragraph" w:customStyle="1" w:styleId="texto10">
    <w:name w:val="texto10"/>
    <w:basedOn w:val="Normal"/>
    <w:rsid w:val="00243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80AAB"/>
  </w:style>
  <w:style w:type="paragraph" w:styleId="Textodebalo">
    <w:name w:val="Balloon Text"/>
    <w:basedOn w:val="Normal"/>
    <w:link w:val="TextodebaloChar"/>
    <w:uiPriority w:val="99"/>
    <w:semiHidden/>
    <w:unhideWhenUsed/>
    <w:rsid w:val="0049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B1E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3130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30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306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30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3064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A5C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5CC8"/>
  </w:style>
  <w:style w:type="paragraph" w:styleId="Rodap">
    <w:name w:val="footer"/>
    <w:basedOn w:val="Normal"/>
    <w:link w:val="RodapChar"/>
    <w:uiPriority w:val="99"/>
    <w:unhideWhenUsed/>
    <w:rsid w:val="003A5C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5CC8"/>
  </w:style>
  <w:style w:type="character" w:customStyle="1" w:styleId="PargrafodaListaChar">
    <w:name w:val="Parágrafo da Lista Char"/>
    <w:aliases w:val="Lista Paragrafo em Preto Char"/>
    <w:link w:val="PargrafodaLista"/>
    <w:uiPriority w:val="34"/>
    <w:qFormat/>
    <w:locked/>
    <w:rsid w:val="002505E4"/>
  </w:style>
  <w:style w:type="character" w:customStyle="1" w:styleId="Ttulo1Char">
    <w:name w:val="Título 1 Char"/>
    <w:basedOn w:val="Fontepargpadro"/>
    <w:link w:val="Ttulo1"/>
    <w:uiPriority w:val="9"/>
    <w:rsid w:val="003048E2"/>
    <w:rPr>
      <w:rFonts w:ascii="Arial Negrito" w:eastAsiaTheme="majorEastAsia" w:hAnsi="Arial Negrito" w:cstheme="majorBidi"/>
      <w:b/>
      <w:bCs/>
      <w:smallCaps/>
      <w:sz w:val="26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048E2"/>
    <w:rPr>
      <w:rFonts w:ascii="Arial" w:eastAsiaTheme="majorEastAsia" w:hAnsi="Arial" w:cs="Arial"/>
      <w:b/>
      <w:bCs/>
      <w:smallCaps/>
      <w:sz w:val="24"/>
      <w:szCs w:val="26"/>
    </w:rPr>
  </w:style>
  <w:style w:type="character" w:customStyle="1" w:styleId="Ttulo3Char">
    <w:name w:val="Título 3 Char"/>
    <w:basedOn w:val="Fontepargpadro"/>
    <w:link w:val="Ttulo3"/>
    <w:rsid w:val="003048E2"/>
    <w:rPr>
      <w:rFonts w:ascii="Arial" w:eastAsia="Calibri" w:hAnsi="Arial" w:cs="Arial"/>
      <w:b/>
      <w:color w:val="000000" w:themeColor="text1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048E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048E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048E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048E2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048E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048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304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3">
    <w:name w:val="A3"/>
    <w:uiPriority w:val="99"/>
    <w:rsid w:val="00895827"/>
    <w:rPr>
      <w:rFonts w:cs="Open Sans"/>
      <w:color w:val="00000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240D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240D79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40D79"/>
    <w:rPr>
      <w:rFonts w:ascii="Arial Black" w:eastAsia="Arial Black" w:hAnsi="Arial Black" w:cs="Arial Black"/>
      <w:lang w:val="pt-PT" w:eastAsia="pt-PT" w:bidi="pt-PT"/>
    </w:rPr>
  </w:style>
  <w:style w:type="paragraph" w:styleId="Reviso">
    <w:name w:val="Revision"/>
    <w:hidden/>
    <w:uiPriority w:val="99"/>
    <w:semiHidden/>
    <w:rsid w:val="00D532C0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4A38D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D65DC2"/>
    <w:pPr>
      <w:spacing w:after="0" w:line="240" w:lineRule="auto"/>
    </w:pPr>
    <w:rPr>
      <w:rFonts w:ascii="Calibri" w:hAnsi="Calibri" w:cs="Calibri"/>
      <w:lang w:eastAsia="pt-BR"/>
    </w:rPr>
  </w:style>
  <w:style w:type="character" w:customStyle="1" w:styleId="contentpasted0">
    <w:name w:val="contentpasted0"/>
    <w:basedOn w:val="Fontepargpadro"/>
    <w:rsid w:val="00D65D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lanalto.gov.br/ccivil_03/LEIS/1989_1994/L8374.htm" TargetMode="External"/><Relationship Id="rId18" Type="http://schemas.openxmlformats.org/officeDocument/2006/relationships/hyperlink" Target="https://www.abgf.gov.br/acesso-informacao/servidore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resi@abgf.gov.br" TargetMode="External"/><Relationship Id="rId17" Type="http://schemas.openxmlformats.org/officeDocument/2006/relationships/hyperlink" Target="https://www.abgf.gov.br/sobre/politica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bgf.gov.br/sobre/politica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LEIS/L9491.ht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lanalto.gov.br/ccivil_03/LEIS/LCP/Lcp137.htm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06428-C9BA-4D20-8BBB-7EEB223EC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7079</Words>
  <Characters>38227</Characters>
  <Application>Microsoft Office Word</Application>
  <DocSecurity>0</DocSecurity>
  <Lines>318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inez.ruediger</dc:creator>
  <cp:keywords/>
  <dc:description/>
  <cp:lastModifiedBy>Mariana Costa de Assuncao</cp:lastModifiedBy>
  <cp:revision>2</cp:revision>
  <cp:lastPrinted>2023-11-13T19:56:00Z</cp:lastPrinted>
  <dcterms:created xsi:type="dcterms:W3CDTF">2023-11-13T19:57:00Z</dcterms:created>
  <dcterms:modified xsi:type="dcterms:W3CDTF">2023-11-13T19:57:00Z</dcterms:modified>
</cp:coreProperties>
</file>